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F6B" w:rsidRPr="00883F6B" w:rsidRDefault="00883F6B" w:rsidP="00883F6B">
      <w:pPr>
        <w:shd w:val="clear" w:color="auto" w:fill="FFFFFF"/>
        <w:spacing w:before="240" w:after="120" w:line="324" w:lineRule="atLeast"/>
        <w:outlineLvl w:val="0"/>
        <w:rPr>
          <w:rFonts w:ascii="Arial" w:eastAsia="Times New Roman" w:hAnsi="Arial" w:cs="Arial"/>
          <w:color w:val="000000"/>
          <w:kern w:val="36"/>
          <w:sz w:val="31"/>
          <w:szCs w:val="31"/>
          <w:lang w:eastAsia="en-GB"/>
        </w:rPr>
      </w:pPr>
      <w:bookmarkStart w:id="0" w:name="_GoBack"/>
      <w:bookmarkEnd w:id="0"/>
      <w:r w:rsidRPr="00883F6B">
        <w:rPr>
          <w:rFonts w:ascii="Arial" w:eastAsia="Times New Roman" w:hAnsi="Arial" w:cs="Arial"/>
          <w:color w:val="000000"/>
          <w:kern w:val="36"/>
          <w:sz w:val="31"/>
          <w:szCs w:val="31"/>
          <w:lang w:eastAsia="en-GB"/>
        </w:rPr>
        <w:t>A quantitative meta-analysis of population-based studies of premorbid intelligence and schizophrenia</w:t>
      </w:r>
    </w:p>
    <w:p w:rsidR="00883F6B" w:rsidRPr="00883F6B" w:rsidRDefault="00694C4A" w:rsidP="00883F6B">
      <w:pPr>
        <w:shd w:val="clear" w:color="auto" w:fill="FFFFFF"/>
        <w:spacing w:after="166" w:line="393" w:lineRule="atLeast"/>
        <w:rPr>
          <w:rFonts w:ascii="Arial" w:eastAsia="Times New Roman" w:hAnsi="Arial" w:cs="Arial"/>
          <w:color w:val="000000"/>
          <w:sz w:val="20"/>
          <w:szCs w:val="20"/>
          <w:lang w:eastAsia="en-GB"/>
        </w:rPr>
      </w:pPr>
      <w:hyperlink r:id="rId4" w:history="1">
        <w:r w:rsidR="00883F6B" w:rsidRPr="00883F6B">
          <w:rPr>
            <w:rFonts w:ascii="Arial" w:eastAsia="Times New Roman" w:hAnsi="Arial" w:cs="Arial"/>
            <w:color w:val="642A8F"/>
            <w:sz w:val="20"/>
            <w:szCs w:val="20"/>
            <w:u w:val="single"/>
            <w:lang w:eastAsia="en-GB"/>
          </w:rPr>
          <w:t>Golam M. Khandaker</w:t>
        </w:r>
      </w:hyperlink>
      <w:r w:rsidR="00883F6B" w:rsidRPr="00883F6B">
        <w:rPr>
          <w:rFonts w:ascii="Arial" w:eastAsia="Times New Roman" w:hAnsi="Arial" w:cs="Arial"/>
          <w:color w:val="000000"/>
          <w:sz w:val="20"/>
          <w:szCs w:val="20"/>
          <w:lang w:eastAsia="en-GB"/>
        </w:rPr>
        <w:t>,</w:t>
      </w:r>
      <w:r w:rsidR="00883F6B" w:rsidRPr="00883F6B">
        <w:rPr>
          <w:rFonts w:ascii="Arial" w:eastAsia="Times New Roman" w:hAnsi="Arial" w:cs="Arial"/>
          <w:color w:val="000000"/>
          <w:sz w:val="17"/>
          <w:szCs w:val="17"/>
          <w:vertAlign w:val="superscript"/>
          <w:lang w:eastAsia="en-GB"/>
        </w:rPr>
        <w:t>a,</w:t>
      </w:r>
      <w:r w:rsidR="00883F6B" w:rsidRPr="00883F6B">
        <w:rPr>
          <w:rFonts w:ascii="Tahoma" w:eastAsia="Times New Roman" w:hAnsi="Tahoma" w:cs="Tahoma"/>
          <w:color w:val="000000"/>
          <w:sz w:val="17"/>
          <w:szCs w:val="17"/>
          <w:vertAlign w:val="superscript"/>
          <w:lang w:eastAsia="en-GB"/>
        </w:rPr>
        <w:t>⁎</w:t>
      </w:r>
      <w:r w:rsidR="00883F6B" w:rsidRPr="00883F6B">
        <w:rPr>
          <w:rFonts w:ascii="Arial" w:eastAsia="Times New Roman" w:hAnsi="Arial" w:cs="Arial"/>
          <w:color w:val="000000"/>
          <w:sz w:val="20"/>
          <w:szCs w:val="20"/>
          <w:lang w:eastAsia="en-GB"/>
        </w:rPr>
        <w:t> </w:t>
      </w:r>
      <w:hyperlink r:id="rId5" w:history="1">
        <w:r w:rsidR="00883F6B" w:rsidRPr="00883F6B">
          <w:rPr>
            <w:rFonts w:ascii="Arial" w:eastAsia="Times New Roman" w:hAnsi="Arial" w:cs="Arial"/>
            <w:color w:val="642A8F"/>
            <w:sz w:val="20"/>
            <w:szCs w:val="20"/>
            <w:u w:val="single"/>
            <w:lang w:eastAsia="en-GB"/>
          </w:rPr>
          <w:t>Jennifer H. Barnett</w:t>
        </w:r>
      </w:hyperlink>
      <w:r w:rsidR="00883F6B" w:rsidRPr="00883F6B">
        <w:rPr>
          <w:rFonts w:ascii="Arial" w:eastAsia="Times New Roman" w:hAnsi="Arial" w:cs="Arial"/>
          <w:color w:val="000000"/>
          <w:sz w:val="20"/>
          <w:szCs w:val="20"/>
          <w:lang w:eastAsia="en-GB"/>
        </w:rPr>
        <w:t>,</w:t>
      </w:r>
      <w:r w:rsidR="00883F6B" w:rsidRPr="00883F6B">
        <w:rPr>
          <w:rFonts w:ascii="Arial" w:eastAsia="Times New Roman" w:hAnsi="Arial" w:cs="Arial"/>
          <w:color w:val="000000"/>
          <w:sz w:val="17"/>
          <w:szCs w:val="17"/>
          <w:vertAlign w:val="superscript"/>
          <w:lang w:eastAsia="en-GB"/>
        </w:rPr>
        <w:t>a,b</w:t>
      </w:r>
      <w:r w:rsidR="00883F6B" w:rsidRPr="00883F6B">
        <w:rPr>
          <w:rFonts w:ascii="Arial" w:eastAsia="Times New Roman" w:hAnsi="Arial" w:cs="Arial"/>
          <w:color w:val="000000"/>
          <w:sz w:val="20"/>
          <w:szCs w:val="20"/>
          <w:lang w:eastAsia="en-GB"/>
        </w:rPr>
        <w:t> </w:t>
      </w:r>
      <w:hyperlink r:id="rId6" w:history="1">
        <w:r w:rsidR="00883F6B" w:rsidRPr="00883F6B">
          <w:rPr>
            <w:rFonts w:ascii="Arial" w:eastAsia="Times New Roman" w:hAnsi="Arial" w:cs="Arial"/>
            <w:color w:val="642A8F"/>
            <w:sz w:val="20"/>
            <w:szCs w:val="20"/>
            <w:u w:val="single"/>
            <w:lang w:eastAsia="en-GB"/>
          </w:rPr>
          <w:t>Ian R. White</w:t>
        </w:r>
      </w:hyperlink>
      <w:r w:rsidR="00883F6B" w:rsidRPr="00883F6B">
        <w:rPr>
          <w:rFonts w:ascii="Arial" w:eastAsia="Times New Roman" w:hAnsi="Arial" w:cs="Arial"/>
          <w:color w:val="000000"/>
          <w:sz w:val="20"/>
          <w:szCs w:val="20"/>
          <w:lang w:eastAsia="en-GB"/>
        </w:rPr>
        <w:t>,</w:t>
      </w:r>
      <w:r w:rsidR="00883F6B" w:rsidRPr="00883F6B">
        <w:rPr>
          <w:rFonts w:ascii="Arial" w:eastAsia="Times New Roman" w:hAnsi="Arial" w:cs="Arial"/>
          <w:color w:val="000000"/>
          <w:sz w:val="17"/>
          <w:szCs w:val="17"/>
          <w:vertAlign w:val="superscript"/>
          <w:lang w:eastAsia="en-GB"/>
        </w:rPr>
        <w:t>c</w:t>
      </w:r>
      <w:r w:rsidR="00883F6B" w:rsidRPr="00883F6B">
        <w:rPr>
          <w:rFonts w:ascii="Arial" w:eastAsia="Times New Roman" w:hAnsi="Arial" w:cs="Arial"/>
          <w:color w:val="000000"/>
          <w:sz w:val="20"/>
          <w:szCs w:val="20"/>
          <w:lang w:eastAsia="en-GB"/>
        </w:rPr>
        <w:t> and </w:t>
      </w:r>
      <w:hyperlink r:id="rId7" w:history="1">
        <w:r w:rsidR="00883F6B" w:rsidRPr="00883F6B">
          <w:rPr>
            <w:rFonts w:ascii="Arial" w:eastAsia="Times New Roman" w:hAnsi="Arial" w:cs="Arial"/>
            <w:color w:val="642A8F"/>
            <w:sz w:val="20"/>
            <w:szCs w:val="20"/>
            <w:u w:val="single"/>
            <w:lang w:eastAsia="en-GB"/>
          </w:rPr>
          <w:t>Peter B. Jones</w:t>
        </w:r>
      </w:hyperlink>
      <w:r w:rsidR="00883F6B" w:rsidRPr="00883F6B">
        <w:rPr>
          <w:rFonts w:ascii="Arial" w:eastAsia="Times New Roman" w:hAnsi="Arial" w:cs="Arial"/>
          <w:color w:val="000000"/>
          <w:sz w:val="17"/>
          <w:szCs w:val="17"/>
          <w:vertAlign w:val="superscript"/>
          <w:lang w:eastAsia="en-GB"/>
        </w:rPr>
        <w:t>a</w:t>
      </w:r>
    </w:p>
    <w:p w:rsidR="00883F6B" w:rsidRPr="00883F6B" w:rsidRDefault="00694C4A" w:rsidP="00883F6B">
      <w:pPr>
        <w:shd w:val="clear" w:color="auto" w:fill="FFFFFF"/>
        <w:spacing w:after="166" w:line="393" w:lineRule="atLeast"/>
        <w:rPr>
          <w:rFonts w:ascii="Arial" w:eastAsia="Times New Roman" w:hAnsi="Arial" w:cs="Arial"/>
          <w:color w:val="000000"/>
          <w:sz w:val="20"/>
          <w:szCs w:val="20"/>
          <w:lang w:eastAsia="en-GB"/>
        </w:rPr>
      </w:pPr>
      <w:hyperlink r:id="rId8" w:history="1">
        <w:r w:rsidR="00883F6B" w:rsidRPr="00883F6B">
          <w:rPr>
            <w:rFonts w:ascii="Arial" w:eastAsia="Times New Roman" w:hAnsi="Arial" w:cs="Arial"/>
            <w:color w:val="642A8F"/>
            <w:sz w:val="20"/>
            <w:szCs w:val="20"/>
            <w:u w:val="single"/>
            <w:lang w:eastAsia="en-GB"/>
          </w:rPr>
          <w:t>Author information</w:t>
        </w:r>
      </w:hyperlink>
      <w:r w:rsidR="00883F6B" w:rsidRPr="00883F6B">
        <w:rPr>
          <w:rFonts w:ascii="Arial" w:eastAsia="Times New Roman" w:hAnsi="Arial" w:cs="Arial"/>
          <w:color w:val="000000"/>
          <w:sz w:val="20"/>
          <w:szCs w:val="20"/>
          <w:lang w:eastAsia="en-GB"/>
        </w:rPr>
        <w:t> </w:t>
      </w:r>
      <w:hyperlink r:id="rId9" w:history="1">
        <w:r w:rsidR="00883F6B" w:rsidRPr="00883F6B">
          <w:rPr>
            <w:rFonts w:ascii="Arial" w:eastAsia="Times New Roman" w:hAnsi="Arial" w:cs="Arial"/>
            <w:color w:val="642A8F"/>
            <w:sz w:val="20"/>
            <w:szCs w:val="20"/>
            <w:u w:val="single"/>
            <w:lang w:eastAsia="en-GB"/>
          </w:rPr>
          <w:t>Article notes</w:t>
        </w:r>
      </w:hyperlink>
      <w:r w:rsidR="00883F6B" w:rsidRPr="00883F6B">
        <w:rPr>
          <w:rFonts w:ascii="Arial" w:eastAsia="Times New Roman" w:hAnsi="Arial" w:cs="Arial"/>
          <w:color w:val="000000"/>
          <w:sz w:val="20"/>
          <w:szCs w:val="20"/>
          <w:lang w:eastAsia="en-GB"/>
        </w:rPr>
        <w:t> </w:t>
      </w:r>
      <w:hyperlink r:id="rId10" w:history="1">
        <w:r w:rsidR="00883F6B" w:rsidRPr="00883F6B">
          <w:rPr>
            <w:rFonts w:ascii="Arial" w:eastAsia="Times New Roman" w:hAnsi="Arial" w:cs="Arial"/>
            <w:color w:val="642A8F"/>
            <w:sz w:val="20"/>
            <w:szCs w:val="20"/>
            <w:u w:val="single"/>
            <w:lang w:eastAsia="en-GB"/>
          </w:rPr>
          <w:t>Copyright and License information</w:t>
        </w:r>
      </w:hyperlink>
      <w:r w:rsidR="00883F6B" w:rsidRPr="00883F6B">
        <w:rPr>
          <w:rFonts w:ascii="Arial" w:eastAsia="Times New Roman" w:hAnsi="Arial" w:cs="Arial"/>
          <w:color w:val="000000"/>
          <w:sz w:val="20"/>
          <w:szCs w:val="20"/>
          <w:lang w:eastAsia="en-GB"/>
        </w:rPr>
        <w:t> </w:t>
      </w:r>
      <w:hyperlink r:id="rId11" w:history="1">
        <w:r w:rsidR="00883F6B" w:rsidRPr="00883F6B">
          <w:rPr>
            <w:rFonts w:ascii="Arial" w:eastAsia="Times New Roman" w:hAnsi="Arial" w:cs="Arial"/>
            <w:color w:val="642A8F"/>
            <w:sz w:val="20"/>
            <w:szCs w:val="20"/>
            <w:u w:val="single"/>
            <w:lang w:eastAsia="en-GB"/>
          </w:rPr>
          <w:t>Disclaimer</w:t>
        </w:r>
      </w:hyperlink>
    </w:p>
    <w:p w:rsidR="00883F6B" w:rsidRPr="00883F6B" w:rsidRDefault="00883F6B" w:rsidP="00883F6B">
      <w:pPr>
        <w:shd w:val="clear" w:color="auto" w:fill="FFF4CE"/>
        <w:spacing w:line="393" w:lineRule="atLeast"/>
        <w:rPr>
          <w:rFonts w:ascii="Arial" w:eastAsia="Times New Roman" w:hAnsi="Arial" w:cs="Arial"/>
          <w:color w:val="000000"/>
          <w:sz w:val="20"/>
          <w:szCs w:val="20"/>
          <w:lang w:eastAsia="en-GB"/>
        </w:rPr>
      </w:pPr>
      <w:r w:rsidRPr="00883F6B">
        <w:rPr>
          <w:rFonts w:ascii="Arial" w:eastAsia="Times New Roman" w:hAnsi="Arial" w:cs="Arial"/>
          <w:color w:val="000000"/>
          <w:sz w:val="20"/>
          <w:szCs w:val="20"/>
          <w:lang w:eastAsia="en-GB"/>
        </w:rPr>
        <w:t>This article has been </w:t>
      </w:r>
      <w:hyperlink r:id="rId12" w:history="1">
        <w:r w:rsidRPr="00883F6B">
          <w:rPr>
            <w:rFonts w:ascii="Arial" w:eastAsia="Times New Roman" w:hAnsi="Arial" w:cs="Arial"/>
            <w:color w:val="642A8F"/>
            <w:sz w:val="20"/>
            <w:szCs w:val="20"/>
            <w:u w:val="single"/>
            <w:lang w:eastAsia="en-GB"/>
          </w:rPr>
          <w:t>cited by</w:t>
        </w:r>
      </w:hyperlink>
      <w:r w:rsidRPr="00883F6B">
        <w:rPr>
          <w:rFonts w:ascii="Arial" w:eastAsia="Times New Roman" w:hAnsi="Arial" w:cs="Arial"/>
          <w:color w:val="000000"/>
          <w:sz w:val="20"/>
          <w:szCs w:val="20"/>
          <w:lang w:eastAsia="en-GB"/>
        </w:rPr>
        <w:t> other articles in PMC.</w:t>
      </w:r>
    </w:p>
    <w:p w:rsidR="00883F6B" w:rsidRPr="00883F6B" w:rsidRDefault="00883F6B" w:rsidP="00883F6B">
      <w:pPr>
        <w:shd w:val="clear" w:color="auto" w:fill="FFFFFF"/>
        <w:spacing w:after="135" w:line="267" w:lineRule="atLeast"/>
        <w:outlineLvl w:val="1"/>
        <w:rPr>
          <w:rFonts w:ascii="Arial" w:eastAsia="Times New Roman" w:hAnsi="Arial" w:cs="Arial"/>
          <w:color w:val="985735"/>
          <w:sz w:val="28"/>
          <w:szCs w:val="28"/>
          <w:lang w:eastAsia="en-GB"/>
        </w:rPr>
      </w:pPr>
      <w:r w:rsidRPr="00883F6B">
        <w:rPr>
          <w:rFonts w:ascii="Arial" w:eastAsia="Times New Roman" w:hAnsi="Arial" w:cs="Arial"/>
          <w:color w:val="985735"/>
          <w:sz w:val="28"/>
          <w:szCs w:val="28"/>
          <w:lang w:eastAsia="en-GB"/>
        </w:rPr>
        <w:t>Associated Data</w:t>
      </w:r>
    </w:p>
    <w:p w:rsidR="00883F6B" w:rsidRPr="00883F6B" w:rsidRDefault="00694C4A" w:rsidP="00883F6B">
      <w:pPr>
        <w:shd w:val="clear" w:color="auto" w:fill="FFFFFF"/>
        <w:spacing w:line="393" w:lineRule="atLeast"/>
        <w:rPr>
          <w:rFonts w:ascii="Arial" w:eastAsia="Times New Roman" w:hAnsi="Arial" w:cs="Arial"/>
          <w:color w:val="000000"/>
          <w:sz w:val="20"/>
          <w:szCs w:val="20"/>
          <w:lang w:eastAsia="en-GB"/>
        </w:rPr>
      </w:pPr>
      <w:hyperlink r:id="rId13" w:history="1">
        <w:r w:rsidR="00883F6B" w:rsidRPr="00883F6B">
          <w:rPr>
            <w:rFonts w:ascii="Arial" w:eastAsia="Times New Roman" w:hAnsi="Arial" w:cs="Arial"/>
            <w:color w:val="642A8F"/>
            <w:sz w:val="20"/>
            <w:szCs w:val="20"/>
            <w:u w:val="single"/>
            <w:lang w:eastAsia="en-GB"/>
          </w:rPr>
          <w:t>Supplementary Materials</w:t>
        </w:r>
      </w:hyperlink>
    </w:p>
    <w:p w:rsidR="00883F6B" w:rsidRPr="00883F6B" w:rsidRDefault="00694C4A" w:rsidP="00883F6B">
      <w:pPr>
        <w:shd w:val="clear" w:color="auto" w:fill="FFFFFF"/>
        <w:spacing w:after="0" w:line="240" w:lineRule="auto"/>
        <w:jc w:val="right"/>
        <w:rPr>
          <w:rFonts w:ascii="Arial" w:eastAsia="Times New Roman" w:hAnsi="Arial" w:cs="Arial"/>
          <w:vanish/>
          <w:color w:val="000000"/>
          <w:sz w:val="24"/>
          <w:szCs w:val="24"/>
          <w:lang w:val="en" w:eastAsia="en-GB"/>
        </w:rPr>
      </w:pPr>
      <w:hyperlink r:id="rId14" w:tooltip="Go to other sections in this page" w:history="1">
        <w:r w:rsidR="00883F6B" w:rsidRPr="00883F6B">
          <w:rPr>
            <w:rFonts w:ascii="Arial" w:eastAsia="Times New Roman" w:hAnsi="Arial" w:cs="Arial"/>
            <w:vanish/>
            <w:color w:val="642A8F"/>
            <w:sz w:val="24"/>
            <w:szCs w:val="24"/>
            <w:u w:val="single"/>
            <w:lang w:val="en"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val="en" w:eastAsia="en-GB"/>
        </w:rPr>
      </w:pPr>
      <w:r w:rsidRPr="00883F6B">
        <w:rPr>
          <w:rFonts w:ascii="Arial" w:eastAsia="Times New Roman" w:hAnsi="Arial" w:cs="Arial"/>
          <w:color w:val="985735"/>
          <w:sz w:val="27"/>
          <w:szCs w:val="27"/>
          <w:lang w:val="en" w:eastAsia="en-GB"/>
        </w:rPr>
        <w:t>Abstract</w:t>
      </w:r>
    </w:p>
    <w:p w:rsidR="00883F6B" w:rsidRPr="00883F6B" w:rsidRDefault="00883F6B" w:rsidP="00883F6B">
      <w:pPr>
        <w:shd w:val="clear" w:color="auto" w:fill="FFFFFF"/>
        <w:spacing w:before="308" w:after="154" w:line="300" w:lineRule="atLeast"/>
        <w:outlineLvl w:val="2"/>
        <w:rPr>
          <w:rFonts w:ascii="Arial" w:eastAsia="Times New Roman" w:hAnsi="Arial" w:cs="Arial"/>
          <w:vanish/>
          <w:color w:val="724128"/>
          <w:sz w:val="24"/>
          <w:szCs w:val="24"/>
          <w:lang w:val="en" w:eastAsia="en-GB"/>
        </w:rPr>
      </w:pPr>
      <w:r w:rsidRPr="00883F6B">
        <w:rPr>
          <w:rFonts w:ascii="Arial" w:eastAsia="Times New Roman" w:hAnsi="Arial" w:cs="Arial"/>
          <w:vanish/>
          <w:color w:val="724128"/>
          <w:sz w:val="24"/>
          <w:szCs w:val="24"/>
          <w:lang w:val="en" w:eastAsia="en-GB"/>
        </w:rPr>
        <w:t>Objective</w:t>
      </w:r>
    </w:p>
    <w:p w:rsidR="00883F6B" w:rsidRPr="00883F6B" w:rsidRDefault="00883F6B" w:rsidP="00883F6B">
      <w:pPr>
        <w:shd w:val="clear" w:color="auto" w:fill="FFFFFF"/>
        <w:spacing w:before="166" w:after="166" w:line="240" w:lineRule="auto"/>
        <w:rPr>
          <w:rFonts w:ascii="Times New Roman" w:eastAsia="Times New Roman" w:hAnsi="Times New Roman" w:cs="Times New Roman"/>
          <w:vanish/>
          <w:color w:val="000000"/>
          <w:sz w:val="24"/>
          <w:szCs w:val="24"/>
          <w:lang w:val="en" w:eastAsia="en-GB"/>
        </w:rPr>
      </w:pPr>
      <w:r w:rsidRPr="00883F6B">
        <w:rPr>
          <w:rFonts w:ascii="Times New Roman" w:eastAsia="Times New Roman" w:hAnsi="Times New Roman" w:cs="Times New Roman"/>
          <w:vanish/>
          <w:color w:val="000000"/>
          <w:sz w:val="24"/>
          <w:szCs w:val="24"/>
          <w:lang w:val="en" w:eastAsia="en-GB"/>
        </w:rPr>
        <w:t>A premorbid IQ deficit supports a developmental dimension to schizophrenia and its cognitive aspects that are crucial to functional outcome. Better characterisation of the association between premorbid IQ and the disorder may provide further insight into its origin and etiology. We aimed to quantify premorbid cognitive function in schizophrenia through systematic review and meta-analysis of longitudinal, population-based studies, and to characterize the risk of schizophrenia across the entire range of premorbid IQ.</w:t>
      </w:r>
    </w:p>
    <w:p w:rsidR="00883F6B" w:rsidRPr="00883F6B" w:rsidRDefault="00883F6B" w:rsidP="00883F6B">
      <w:pPr>
        <w:shd w:val="clear" w:color="auto" w:fill="FFFFFF"/>
        <w:spacing w:before="308" w:after="154" w:line="300" w:lineRule="atLeast"/>
        <w:outlineLvl w:val="2"/>
        <w:rPr>
          <w:rFonts w:ascii="Arial" w:eastAsia="Times New Roman" w:hAnsi="Arial" w:cs="Arial"/>
          <w:vanish/>
          <w:color w:val="724128"/>
          <w:sz w:val="24"/>
          <w:szCs w:val="24"/>
          <w:lang w:val="en" w:eastAsia="en-GB"/>
        </w:rPr>
      </w:pPr>
      <w:r w:rsidRPr="00883F6B">
        <w:rPr>
          <w:rFonts w:ascii="Arial" w:eastAsia="Times New Roman" w:hAnsi="Arial" w:cs="Arial"/>
          <w:vanish/>
          <w:color w:val="724128"/>
          <w:sz w:val="24"/>
          <w:szCs w:val="24"/>
          <w:lang w:val="en" w:eastAsia="en-GB"/>
        </w:rPr>
        <w:t>Method</w:t>
      </w:r>
    </w:p>
    <w:p w:rsidR="00883F6B" w:rsidRPr="00883F6B" w:rsidRDefault="00883F6B" w:rsidP="00883F6B">
      <w:pPr>
        <w:shd w:val="clear" w:color="auto" w:fill="FFFFFF"/>
        <w:spacing w:before="166" w:after="166" w:line="240" w:lineRule="auto"/>
        <w:rPr>
          <w:rFonts w:ascii="Times New Roman" w:eastAsia="Times New Roman" w:hAnsi="Times New Roman" w:cs="Times New Roman"/>
          <w:vanish/>
          <w:color w:val="000000"/>
          <w:sz w:val="24"/>
          <w:szCs w:val="24"/>
          <w:lang w:val="en" w:eastAsia="en-GB"/>
        </w:rPr>
      </w:pPr>
      <w:r w:rsidRPr="00883F6B">
        <w:rPr>
          <w:rFonts w:ascii="Times New Roman" w:eastAsia="Times New Roman" w:hAnsi="Times New Roman" w:cs="Times New Roman"/>
          <w:vanish/>
          <w:color w:val="000000"/>
          <w:sz w:val="24"/>
          <w:szCs w:val="24"/>
          <w:lang w:val="en" w:eastAsia="en-GB"/>
        </w:rPr>
        <w:t>Electronic and manual searches identified general population-based cohort or nested case–control studies that measured intelligence before onset of schizophrenic psychosis using standard psychometric tests, and that defined cases using contemporaneous ICD or DSM. Meta-analyses explored dose–response relationships between premorbid cognitive deficit (using full-scale, verbal and performance IQ) and risk of schizophrenia. Meta-regression analyses explored relationships with age of illness onset, change in premorbid intelligence over time and gender differences.</w:t>
      </w:r>
    </w:p>
    <w:p w:rsidR="00883F6B" w:rsidRPr="00883F6B" w:rsidRDefault="00883F6B" w:rsidP="00883F6B">
      <w:pPr>
        <w:shd w:val="clear" w:color="auto" w:fill="FFFFFF"/>
        <w:spacing w:before="308" w:after="154" w:line="300" w:lineRule="atLeast"/>
        <w:outlineLvl w:val="2"/>
        <w:rPr>
          <w:rFonts w:ascii="Arial" w:eastAsia="Times New Roman" w:hAnsi="Arial" w:cs="Arial"/>
          <w:vanish/>
          <w:color w:val="724128"/>
          <w:sz w:val="24"/>
          <w:szCs w:val="24"/>
          <w:lang w:val="en" w:eastAsia="en-GB"/>
        </w:rPr>
      </w:pPr>
      <w:r w:rsidRPr="00883F6B">
        <w:rPr>
          <w:rFonts w:ascii="Arial" w:eastAsia="Times New Roman" w:hAnsi="Arial" w:cs="Arial"/>
          <w:vanish/>
          <w:color w:val="724128"/>
          <w:sz w:val="24"/>
          <w:szCs w:val="24"/>
          <w:lang w:val="en" w:eastAsia="en-GB"/>
        </w:rPr>
        <w:t>Results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vanish/>
          <w:color w:val="000000"/>
          <w:sz w:val="24"/>
          <w:szCs w:val="24"/>
          <w:lang w:val="en" w:eastAsia="en-GB"/>
        </w:rPr>
      </w:pPr>
      <w:r w:rsidRPr="00883F6B">
        <w:rPr>
          <w:rFonts w:ascii="Times New Roman" w:eastAsia="Times New Roman" w:hAnsi="Times New Roman" w:cs="Times New Roman"/>
          <w:vanish/>
          <w:color w:val="000000"/>
          <w:sz w:val="24"/>
          <w:szCs w:val="24"/>
          <w:lang w:val="en" w:eastAsia="en-GB"/>
        </w:rPr>
        <w:t>Meta-analysis of 4396 cases and over 745 000 controls from 12 independent studies confirmed significant decrements in premorbid IQ (effect size − 0.43) among future cases. Risk of schizophrenia operated as a consistent dose–response effect, increasing by 3.7% for every point decrease in IQ (p &lt; 0.0001). Verbal and nonverbal measures were equally affected. Greater premorbid IQ decrement was associated with earlier illness onset (p &lt; 0.0001). There was no evidence of a progressively increasing deficit during the premorbid period toward illness onset.</w:t>
      </w:r>
    </w:p>
    <w:p w:rsidR="00883F6B" w:rsidRPr="00883F6B" w:rsidRDefault="00883F6B" w:rsidP="00883F6B">
      <w:pPr>
        <w:shd w:val="clear" w:color="auto" w:fill="FFFFFF"/>
        <w:spacing w:before="308" w:after="154" w:line="300" w:lineRule="atLeast"/>
        <w:outlineLvl w:val="2"/>
        <w:rPr>
          <w:rFonts w:ascii="Arial" w:eastAsia="Times New Roman" w:hAnsi="Arial" w:cs="Arial"/>
          <w:vanish/>
          <w:color w:val="724128"/>
          <w:sz w:val="24"/>
          <w:szCs w:val="24"/>
          <w:lang w:val="en" w:eastAsia="en-GB"/>
        </w:rPr>
      </w:pPr>
      <w:r w:rsidRPr="00883F6B">
        <w:rPr>
          <w:rFonts w:ascii="Arial" w:eastAsia="Times New Roman" w:hAnsi="Arial" w:cs="Arial"/>
          <w:vanish/>
          <w:color w:val="724128"/>
          <w:sz w:val="24"/>
          <w:szCs w:val="24"/>
          <w:lang w:val="en" w:eastAsia="en-GB"/>
        </w:rPr>
        <w:t>Conclusions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vanish/>
          <w:color w:val="000000"/>
          <w:sz w:val="24"/>
          <w:szCs w:val="24"/>
          <w:lang w:val="en" w:eastAsia="en-GB"/>
        </w:rPr>
      </w:pPr>
      <w:r w:rsidRPr="00883F6B">
        <w:rPr>
          <w:rFonts w:ascii="Times New Roman" w:eastAsia="Times New Roman" w:hAnsi="Times New Roman" w:cs="Times New Roman"/>
          <w:vanish/>
          <w:color w:val="000000"/>
          <w:sz w:val="24"/>
          <w:szCs w:val="24"/>
          <w:lang w:val="en" w:eastAsia="en-GB"/>
        </w:rPr>
        <w:t>Strong associations between premorbid IQ and risk for schizophrenia, and age of illness onset argue for a widespread neurodevelopmental contribution to schizophrenia that operates across the entire range of intellectual ability. This also suggests higher IQ may be protective in schizophrenia, perhaps by increasing active cognitive reserve.</w:t>
      </w:r>
    </w:p>
    <w:p w:rsidR="00883F6B" w:rsidRPr="00883F6B" w:rsidRDefault="00883F6B" w:rsidP="00883F6B">
      <w:pPr>
        <w:shd w:val="clear" w:color="auto" w:fill="FFFFFF"/>
        <w:spacing w:after="0" w:line="240" w:lineRule="auto"/>
        <w:rPr>
          <w:rFonts w:ascii="Times New Roman" w:eastAsia="Times New Roman" w:hAnsi="Times New Roman" w:cs="Times New Roman"/>
          <w:vanish/>
          <w:color w:val="000000"/>
          <w:sz w:val="24"/>
          <w:szCs w:val="24"/>
          <w:lang w:val="en" w:eastAsia="en-GB"/>
        </w:rPr>
      </w:pPr>
      <w:r w:rsidRPr="00883F6B">
        <w:rPr>
          <w:rFonts w:ascii="Times New Roman" w:eastAsia="Times New Roman" w:hAnsi="Times New Roman" w:cs="Times New Roman"/>
          <w:b/>
          <w:bCs/>
          <w:vanish/>
          <w:color w:val="000000"/>
          <w:sz w:val="24"/>
          <w:szCs w:val="24"/>
          <w:lang w:val="en" w:eastAsia="en-GB"/>
        </w:rPr>
        <w:t>Abbreviations: </w:t>
      </w:r>
      <w:r w:rsidRPr="00883F6B">
        <w:rPr>
          <w:rFonts w:ascii="Times New Roman" w:eastAsia="Times New Roman" w:hAnsi="Times New Roman" w:cs="Times New Roman"/>
          <w:vanish/>
          <w:color w:val="000000"/>
          <w:sz w:val="24"/>
          <w:szCs w:val="24"/>
          <w:lang w:val="en" w:eastAsia="en-GB"/>
        </w:rPr>
        <w:t>IQ, Intelligence Quotient; SMD, Standardized Mean Difference</w:t>
      </w:r>
    </w:p>
    <w:p w:rsidR="00883F6B" w:rsidRPr="00883F6B" w:rsidRDefault="00883F6B" w:rsidP="00883F6B">
      <w:pPr>
        <w:shd w:val="clear" w:color="auto" w:fill="FFFFFF"/>
        <w:spacing w:after="0" w:line="240" w:lineRule="auto"/>
        <w:rPr>
          <w:rFonts w:ascii="Times New Roman" w:eastAsia="Times New Roman" w:hAnsi="Times New Roman" w:cs="Times New Roman"/>
          <w:vanish/>
          <w:color w:val="000000"/>
          <w:sz w:val="24"/>
          <w:szCs w:val="24"/>
          <w:lang w:val="en" w:eastAsia="en-GB"/>
        </w:rPr>
      </w:pPr>
      <w:r w:rsidRPr="00883F6B">
        <w:rPr>
          <w:rFonts w:ascii="Times New Roman" w:eastAsia="Times New Roman" w:hAnsi="Times New Roman" w:cs="Times New Roman"/>
          <w:b/>
          <w:bCs/>
          <w:vanish/>
          <w:color w:val="000000"/>
          <w:sz w:val="24"/>
          <w:szCs w:val="24"/>
          <w:lang w:val="en" w:eastAsia="en-GB"/>
        </w:rPr>
        <w:t>Keywords: </w:t>
      </w:r>
      <w:r w:rsidRPr="00883F6B">
        <w:rPr>
          <w:rFonts w:ascii="Times New Roman" w:eastAsia="Times New Roman" w:hAnsi="Times New Roman" w:cs="Times New Roman"/>
          <w:vanish/>
          <w:color w:val="000000"/>
          <w:sz w:val="24"/>
          <w:szCs w:val="24"/>
          <w:lang w:val="en" w:eastAsia="en-GB"/>
        </w:rPr>
        <w:t>Schizophrenia, Intelligence, IQ, Premorbid, Child, Meta-analysis, Prospective studies, Systematic review</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15"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1.</w:t>
      </w:r>
      <w:r w:rsidRPr="00883F6B">
        <w:rPr>
          <w:rFonts w:ascii="Arial" w:eastAsia="Times New Roman" w:hAnsi="Arial" w:cs="Arial"/>
          <w:color w:val="985735"/>
          <w:sz w:val="27"/>
          <w:szCs w:val="27"/>
          <w:lang w:eastAsia="en-GB"/>
        </w:rPr>
        <w:t> </w:t>
      </w:r>
      <w:r w:rsidRPr="00883F6B">
        <w:rPr>
          <w:rFonts w:ascii="Arial" w:eastAsia="Times New Roman" w:hAnsi="Arial" w:cs="Arial"/>
          <w:color w:val="985735"/>
          <w:sz w:val="27"/>
          <w:szCs w:val="27"/>
          <w:lang w:eastAsia="en-GB"/>
        </w:rPr>
        <w:t>Introduction</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Identification of premorbid IQ deficits in people who will later develop schizophrenia is a key piece of evidence underpinning a developmental aspect to the disorder. This has been summarized as a neurodevelopmental theory (</w:t>
      </w:r>
      <w:hyperlink r:id="rId16" w:anchor="bb0125" w:history="1">
        <w:r w:rsidRPr="00883F6B">
          <w:rPr>
            <w:rFonts w:ascii="Times New Roman" w:eastAsia="Times New Roman" w:hAnsi="Times New Roman" w:cs="Times New Roman"/>
            <w:color w:val="642A8F"/>
            <w:sz w:val="24"/>
            <w:szCs w:val="24"/>
            <w:u w:val="single"/>
            <w:lang w:eastAsia="en-GB"/>
          </w:rPr>
          <w:t>Murray and Lewis, 1987; Weinberger, 1987</w:t>
        </w:r>
      </w:hyperlink>
      <w:r w:rsidRPr="00883F6B">
        <w:rPr>
          <w:rFonts w:ascii="Times New Roman" w:eastAsia="Times New Roman" w:hAnsi="Times New Roman" w:cs="Times New Roman"/>
          <w:color w:val="000000"/>
          <w:sz w:val="24"/>
          <w:szCs w:val="24"/>
          <w:lang w:eastAsia="en-GB"/>
        </w:rPr>
        <w:t>), for which there is empirical evidence (</w:t>
      </w:r>
      <w:hyperlink r:id="rId17" w:anchor="bb0095" w:history="1">
        <w:r w:rsidRPr="00883F6B">
          <w:rPr>
            <w:rFonts w:ascii="Times New Roman" w:eastAsia="Times New Roman" w:hAnsi="Times New Roman" w:cs="Times New Roman"/>
            <w:color w:val="642A8F"/>
            <w:sz w:val="24"/>
            <w:szCs w:val="24"/>
            <w:u w:val="single"/>
            <w:lang w:eastAsia="en-GB"/>
          </w:rPr>
          <w:t>Jones et al., 1994; Weinberger, 1995</w:t>
        </w:r>
      </w:hyperlink>
      <w:r w:rsidRPr="00883F6B">
        <w:rPr>
          <w:rFonts w:ascii="Times New Roman" w:eastAsia="Times New Roman" w:hAnsi="Times New Roman" w:cs="Times New Roman"/>
          <w:color w:val="000000"/>
          <w:sz w:val="24"/>
          <w:szCs w:val="24"/>
          <w:lang w:eastAsia="en-GB"/>
        </w:rPr>
        <w:t>). However, fundamental questions have yet to be settled. These include the absolute magnitude of premorbid IQ deficit, whether this is due to a decrement in the majority of future cases (a left-shift of this population), or whether it is due to a minority effect driven by a sub-group with conspicuously low IQ. Many studies using several designs have generally assessed mean differences between cases (or future cases) and controls (</w:t>
      </w:r>
      <w:hyperlink r:id="rId18" w:anchor="bb0010" w:history="1">
        <w:r w:rsidRPr="00883F6B">
          <w:rPr>
            <w:rFonts w:ascii="Times New Roman" w:eastAsia="Times New Roman" w:hAnsi="Times New Roman" w:cs="Times New Roman"/>
            <w:color w:val="642A8F"/>
            <w:sz w:val="24"/>
            <w:szCs w:val="24"/>
            <w:u w:val="single"/>
            <w:lang w:eastAsia="en-GB"/>
          </w:rPr>
          <w:t>Aylward et al., 1984; Woodberry et al., 2008</w:t>
        </w:r>
      </w:hyperlink>
      <w:r w:rsidRPr="00883F6B">
        <w:rPr>
          <w:rFonts w:ascii="Times New Roman" w:eastAsia="Times New Roman" w:hAnsi="Times New Roman" w:cs="Times New Roman"/>
          <w:color w:val="000000"/>
          <w:sz w:val="24"/>
          <w:szCs w:val="24"/>
          <w:lang w:eastAsia="en-GB"/>
        </w:rPr>
        <w:t>), rather than addressing these underlying concerns. These concerns are important because their solutions shed light on causal models of the entire syndrome of schizophrenia, and the cognitive dysfunction that is an important determinant of functional outcome.</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Assessing premorbid intelligence is problematic. Previous reviews on this topic were based on studies with a number of methodological limitations which might affect both validity and generalizability of their results (</w:t>
      </w:r>
      <w:hyperlink r:id="rId19" w:anchor="bb0010" w:history="1">
        <w:r w:rsidRPr="00883F6B">
          <w:rPr>
            <w:rFonts w:ascii="Times New Roman" w:eastAsia="Times New Roman" w:hAnsi="Times New Roman" w:cs="Times New Roman"/>
            <w:color w:val="642A8F"/>
            <w:sz w:val="24"/>
            <w:szCs w:val="24"/>
            <w:u w:val="single"/>
            <w:lang w:eastAsia="en-GB"/>
          </w:rPr>
          <w:t>Aylward et al., 1984; Woodberry et al., 2008</w:t>
        </w:r>
      </w:hyperlink>
      <w:r w:rsidRPr="00883F6B">
        <w:rPr>
          <w:rFonts w:ascii="Times New Roman" w:eastAsia="Times New Roman" w:hAnsi="Times New Roman" w:cs="Times New Roman"/>
          <w:color w:val="000000"/>
          <w:sz w:val="24"/>
          <w:szCs w:val="24"/>
          <w:lang w:eastAsia="en-GB"/>
        </w:rPr>
        <w:t>). Case control studies are liable to selection bias, which can lead to large variations in effect size through unrepresentative comparison groups (</w:t>
      </w:r>
      <w:hyperlink r:id="rId20" w:anchor="bb0115" w:history="1">
        <w:r w:rsidRPr="00883F6B">
          <w:rPr>
            <w:rFonts w:ascii="Times New Roman" w:eastAsia="Times New Roman" w:hAnsi="Times New Roman" w:cs="Times New Roman"/>
            <w:color w:val="642A8F"/>
            <w:sz w:val="24"/>
            <w:szCs w:val="24"/>
            <w:u w:val="single"/>
            <w:lang w:eastAsia="en-GB"/>
          </w:rPr>
          <w:t>Lubin et al., 1962; Brewer et al., 2005; Lencz et al., 2006</w:t>
        </w:r>
      </w:hyperlink>
      <w:r w:rsidRPr="00883F6B">
        <w:rPr>
          <w:rFonts w:ascii="Times New Roman" w:eastAsia="Times New Roman" w:hAnsi="Times New Roman" w:cs="Times New Roman"/>
          <w:color w:val="000000"/>
          <w:sz w:val="24"/>
          <w:szCs w:val="24"/>
          <w:lang w:eastAsia="en-GB"/>
        </w:rPr>
        <w:t>). On the other hand, genetic high risk studies or studies of childhood psychiatric clinic attendees are often small, and may reflect atypical groups of patients; most individuals who develop schizophrenia have neither a positive family history (</w:t>
      </w:r>
      <w:hyperlink r:id="rId21" w:anchor="bb0070" w:history="1">
        <w:r w:rsidRPr="00883F6B">
          <w:rPr>
            <w:rFonts w:ascii="Times New Roman" w:eastAsia="Times New Roman" w:hAnsi="Times New Roman" w:cs="Times New Roman"/>
            <w:color w:val="642A8F"/>
            <w:sz w:val="24"/>
            <w:szCs w:val="24"/>
            <w:u w:val="single"/>
            <w:lang w:eastAsia="en-GB"/>
          </w:rPr>
          <w:t>Gottesman and Sheilds, 1982</w:t>
        </w:r>
      </w:hyperlink>
      <w:r w:rsidRPr="00883F6B">
        <w:rPr>
          <w:rFonts w:ascii="Times New Roman" w:eastAsia="Times New Roman" w:hAnsi="Times New Roman" w:cs="Times New Roman"/>
          <w:color w:val="000000"/>
          <w:sz w:val="24"/>
          <w:szCs w:val="24"/>
          <w:lang w:eastAsia="en-GB"/>
        </w:rPr>
        <w:t>) nor a history of psychiatric treatment in childhood. Therefore, the most accurate estimate of premorbid cognitive function in people who develop schizophrenia is likely to be gained from longitudinal population-based studies, which are more representative and less prone to selection bias than other designs.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 xml:space="preserve">We report a systematic review and meta-analysis of population-based studies of premorbid intelligence in schizophrenia. We aimed not only to provide an accurate estimate of the </w:t>
      </w:r>
      <w:r w:rsidRPr="00883F6B">
        <w:rPr>
          <w:rFonts w:ascii="Times New Roman" w:eastAsia="Times New Roman" w:hAnsi="Times New Roman" w:cs="Times New Roman"/>
          <w:color w:val="000000"/>
          <w:sz w:val="24"/>
          <w:szCs w:val="24"/>
          <w:lang w:eastAsia="en-GB"/>
        </w:rPr>
        <w:lastRenderedPageBreak/>
        <w:t>magnitude of premorbid IQ deficit, but also to characterize the variation in risk across the entire range of premorbid intellectual ability. We proposed that neurodevelopmental impairment in patients with schizophrenia operates across the normal distribution of IQ (</w:t>
      </w:r>
      <w:hyperlink r:id="rId22" w:anchor="bb0095" w:history="1">
        <w:r w:rsidRPr="00883F6B">
          <w:rPr>
            <w:rFonts w:ascii="Times New Roman" w:eastAsia="Times New Roman" w:hAnsi="Times New Roman" w:cs="Times New Roman"/>
            <w:color w:val="642A8F"/>
            <w:sz w:val="24"/>
            <w:szCs w:val="24"/>
            <w:u w:val="single"/>
            <w:lang w:eastAsia="en-GB"/>
          </w:rPr>
          <w:t>Jones et al., 1994</w:t>
        </w:r>
      </w:hyperlink>
      <w:r w:rsidRPr="00883F6B">
        <w:rPr>
          <w:rFonts w:ascii="Times New Roman" w:eastAsia="Times New Roman" w:hAnsi="Times New Roman" w:cs="Times New Roman"/>
          <w:color w:val="000000"/>
          <w:sz w:val="24"/>
          <w:szCs w:val="24"/>
          <w:lang w:eastAsia="en-GB"/>
        </w:rPr>
        <w:t>), and that IQ decrement would reflect this. We predicted that there would be a dose–response relationship between risk of schizophrenia and premorbid intelligence operating across the full range of IQ (as opposed to a neurodevelopmentally-impaired subgroup of patients). We proposed that the degree of premorbid IQ deficit may reflect the degree of developmental impairment at that age. Thus, we predicted that (a) the IQ deficit would be greater in individuals who show an earlier illness onset, and (b) the IQ deficit would increase with proximity between the measure of IQ and illness onset, as betrayed by an association between age and effect size once confounding by the measurement within the prodromal state was excluded. If the second scenario were true this would be consistent with a progressive IQ deficit.</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23"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2.</w:t>
      </w:r>
      <w:r w:rsidRPr="00883F6B">
        <w:rPr>
          <w:rFonts w:ascii="Arial" w:eastAsia="Times New Roman" w:hAnsi="Arial" w:cs="Arial"/>
          <w:color w:val="985735"/>
          <w:sz w:val="27"/>
          <w:szCs w:val="27"/>
          <w:lang w:eastAsia="en-GB"/>
        </w:rPr>
        <w:t> </w:t>
      </w:r>
      <w:r w:rsidRPr="00883F6B">
        <w:rPr>
          <w:rFonts w:ascii="Arial" w:eastAsia="Times New Roman" w:hAnsi="Arial" w:cs="Arial"/>
          <w:color w:val="985735"/>
          <w:sz w:val="27"/>
          <w:szCs w:val="27"/>
          <w:lang w:eastAsia="en-GB"/>
        </w:rPr>
        <w:t>Methods</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2.1. Search strategy</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Medline-PubMed, PsycINFO and Embase databases were searched to identify all studies of intelligence and schizophrenia published in English language from January 1984 (the year of the first review on this topic) (</w:t>
      </w:r>
      <w:hyperlink r:id="rId24" w:anchor="bb0010" w:history="1">
        <w:r w:rsidRPr="00883F6B">
          <w:rPr>
            <w:rFonts w:ascii="Times New Roman" w:eastAsia="Times New Roman" w:hAnsi="Times New Roman" w:cs="Times New Roman"/>
            <w:color w:val="642A8F"/>
            <w:sz w:val="24"/>
            <w:szCs w:val="24"/>
            <w:u w:val="single"/>
            <w:lang w:eastAsia="en-GB"/>
          </w:rPr>
          <w:t>Aylward et al., 1984</w:t>
        </w:r>
      </w:hyperlink>
      <w:r w:rsidRPr="00883F6B">
        <w:rPr>
          <w:rFonts w:ascii="Times New Roman" w:eastAsia="Times New Roman" w:hAnsi="Times New Roman" w:cs="Times New Roman"/>
          <w:color w:val="000000"/>
          <w:sz w:val="24"/>
          <w:szCs w:val="24"/>
          <w:lang w:eastAsia="en-GB"/>
        </w:rPr>
        <w:t>), until February 2011. Search terms included both MeSH terms and text words, and were: ([Premorbid OR School performance OR Childhood precursor OR Childhood antecedent] OR [IQ OR Intelligence quotient OR Intelligence tests OR Intelligence OR Cognitive OR Neuropsychological]) AND (Schizophrenia OR Psychosis). We also hand searched reference lists of included studies and related conference proceedings, and contacted prominent researchers in this field for unpublished work.</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2.2. Study selection</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Included studies (i) were general population-based cohort or nested case–control designs, (ii) measured intelligence by standard psychometric tests in childhood or before onset/diagnosis of illness, (iii) established outcome according to contemporaneous ICD or DSM, and (iv) used population based registers or cohorts to identify cases. Diagnostic outcomes were schizophrenia, schizophreniform, schizoaffective, schizotypal disorder and psychotic disorders. Studies that estimated premorbid IQ rather than directly measuring it, or that used school performance, etc. as proxies were excluded. In case of more than one published reports from the same population we included the study with longer follow up and larger sample; e.g. </w:t>
      </w:r>
      <w:hyperlink r:id="rId25" w:anchor="bb0230" w:history="1">
        <w:r w:rsidRPr="00883F6B">
          <w:rPr>
            <w:rFonts w:ascii="Times New Roman" w:eastAsia="Times New Roman" w:hAnsi="Times New Roman" w:cs="Times New Roman"/>
            <w:color w:val="642A8F"/>
            <w:sz w:val="24"/>
            <w:szCs w:val="24"/>
            <w:u w:val="single"/>
            <w:lang w:eastAsia="en-GB"/>
          </w:rPr>
          <w:t>Zammit et al. (2004)</w:t>
        </w:r>
      </w:hyperlink>
      <w:r w:rsidRPr="00883F6B">
        <w:rPr>
          <w:rFonts w:ascii="Times New Roman" w:eastAsia="Times New Roman" w:hAnsi="Times New Roman" w:cs="Times New Roman"/>
          <w:color w:val="000000"/>
          <w:sz w:val="24"/>
          <w:szCs w:val="24"/>
          <w:lang w:eastAsia="en-GB"/>
        </w:rPr>
        <w:t> instead of </w:t>
      </w:r>
      <w:hyperlink r:id="rId26" w:anchor="bb0050" w:history="1">
        <w:r w:rsidRPr="00883F6B">
          <w:rPr>
            <w:rFonts w:ascii="Times New Roman" w:eastAsia="Times New Roman" w:hAnsi="Times New Roman" w:cs="Times New Roman"/>
            <w:color w:val="642A8F"/>
            <w:sz w:val="24"/>
            <w:szCs w:val="24"/>
            <w:u w:val="single"/>
            <w:lang w:eastAsia="en-GB"/>
          </w:rPr>
          <w:t>David et al. (1997)</w:t>
        </w:r>
      </w:hyperlink>
      <w:r w:rsidRPr="00883F6B">
        <w:rPr>
          <w:rFonts w:ascii="Times New Roman" w:eastAsia="Times New Roman" w:hAnsi="Times New Roman" w:cs="Times New Roman"/>
          <w:color w:val="000000"/>
          <w:sz w:val="24"/>
          <w:szCs w:val="24"/>
          <w:lang w:eastAsia="en-GB"/>
        </w:rPr>
        <w:t> from Sweden; </w:t>
      </w:r>
      <w:hyperlink r:id="rId27" w:anchor="bb0190" w:history="1">
        <w:r w:rsidRPr="00883F6B">
          <w:rPr>
            <w:rFonts w:ascii="Times New Roman" w:eastAsia="Times New Roman" w:hAnsi="Times New Roman" w:cs="Times New Roman"/>
            <w:color w:val="642A8F"/>
            <w:sz w:val="24"/>
            <w:szCs w:val="24"/>
            <w:u w:val="single"/>
            <w:lang w:eastAsia="en-GB"/>
          </w:rPr>
          <w:t>Urfer-Parnas et al. (2010)</w:t>
        </w:r>
      </w:hyperlink>
      <w:r w:rsidRPr="00883F6B">
        <w:rPr>
          <w:rFonts w:ascii="Times New Roman" w:eastAsia="Times New Roman" w:hAnsi="Times New Roman" w:cs="Times New Roman"/>
          <w:color w:val="000000"/>
          <w:sz w:val="24"/>
          <w:szCs w:val="24"/>
          <w:lang w:eastAsia="en-GB"/>
        </w:rPr>
        <w:t> instead of </w:t>
      </w:r>
      <w:hyperlink r:id="rId28" w:anchor="bb0120" w:history="1">
        <w:r w:rsidRPr="00883F6B">
          <w:rPr>
            <w:rFonts w:ascii="Times New Roman" w:eastAsia="Times New Roman" w:hAnsi="Times New Roman" w:cs="Times New Roman"/>
            <w:color w:val="642A8F"/>
            <w:sz w:val="24"/>
            <w:szCs w:val="24"/>
            <w:u w:val="single"/>
            <w:lang w:eastAsia="en-GB"/>
          </w:rPr>
          <w:t>Mortensen et al. (2005)</w:t>
        </w:r>
      </w:hyperlink>
      <w:r w:rsidRPr="00883F6B">
        <w:rPr>
          <w:rFonts w:ascii="Times New Roman" w:eastAsia="Times New Roman" w:hAnsi="Times New Roman" w:cs="Times New Roman"/>
          <w:color w:val="000000"/>
          <w:sz w:val="24"/>
          <w:szCs w:val="24"/>
          <w:lang w:eastAsia="en-GB"/>
        </w:rPr>
        <w:t> from Denmark.</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2.3. Data extraction</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 xml:space="preserve">GMK examined all titles and abstracts, and obtained full texts of potentially relevant papers. GMK, JHB and PBJ read the papers and applied inclusion criteria. Data were extracted independently, and disagreements were resolved by consensus. For each report, study setting and </w:t>
      </w:r>
      <w:r w:rsidRPr="00883F6B">
        <w:rPr>
          <w:rFonts w:ascii="Times New Roman" w:eastAsia="Times New Roman" w:hAnsi="Times New Roman" w:cs="Times New Roman"/>
          <w:color w:val="000000"/>
          <w:sz w:val="24"/>
          <w:szCs w:val="24"/>
          <w:lang w:eastAsia="en-GB"/>
        </w:rPr>
        <w:lastRenderedPageBreak/>
        <w:t>sampling strategy, age and method of IQ measurement, follow up, attrition and method of case ascertainment were extracted.</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Measures of premorbid full-scale, verbal and performance IQ in case and control groups were identified from each study. Where data were reported in a format that did not allow meta-analysis, an appropriate format was requested from the authors. When studies reported more than one measure, or repeat assessments of IQ, the most comprehensive measure was used (see </w:t>
      </w:r>
      <w:hyperlink r:id="rId29" w:anchor="ec0005" w:history="1">
        <w:r w:rsidRPr="00883F6B">
          <w:rPr>
            <w:rFonts w:ascii="Times New Roman" w:eastAsia="Times New Roman" w:hAnsi="Times New Roman" w:cs="Times New Roman"/>
            <w:color w:val="642A8F"/>
            <w:sz w:val="24"/>
            <w:szCs w:val="24"/>
            <w:u w:val="single"/>
            <w:lang w:eastAsia="en-GB"/>
          </w:rPr>
          <w:t>Supplementary Online Methods</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2.4. Data synthesis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Differences in premorbid IQ between cases and controls were expressed as the standardized mean difference (SMD, Cohen's </w:t>
      </w:r>
      <w:r w:rsidRPr="00883F6B">
        <w:rPr>
          <w:rFonts w:ascii="Times New Roman" w:eastAsia="Times New Roman" w:hAnsi="Times New Roman" w:cs="Times New Roman"/>
          <w:i/>
          <w:iCs/>
          <w:color w:val="000000"/>
          <w:sz w:val="24"/>
          <w:szCs w:val="24"/>
          <w:lang w:eastAsia="en-GB"/>
        </w:rPr>
        <w:t>d</w:t>
      </w:r>
      <w:r w:rsidRPr="00883F6B">
        <w:rPr>
          <w:rFonts w:ascii="Times New Roman" w:eastAsia="Times New Roman" w:hAnsi="Times New Roman" w:cs="Times New Roman"/>
          <w:color w:val="000000"/>
          <w:sz w:val="24"/>
          <w:szCs w:val="24"/>
          <w:lang w:eastAsia="en-GB"/>
        </w:rPr>
        <w:t>), which is appropriate when studies assess the same variable but measure it in a variety of ways (</w:t>
      </w:r>
      <w:hyperlink r:id="rId30" w:anchor="bb0065" w:history="1">
        <w:r w:rsidRPr="00883F6B">
          <w:rPr>
            <w:rFonts w:ascii="Times New Roman" w:eastAsia="Times New Roman" w:hAnsi="Times New Roman" w:cs="Times New Roman"/>
            <w:color w:val="642A8F"/>
            <w:sz w:val="24"/>
            <w:szCs w:val="24"/>
            <w:u w:val="single"/>
            <w:lang w:eastAsia="en-GB"/>
          </w:rPr>
          <w:t>Egger et al., 2001</w:t>
        </w:r>
      </w:hyperlink>
      <w:r w:rsidRPr="00883F6B">
        <w:rPr>
          <w:rFonts w:ascii="Times New Roman" w:eastAsia="Times New Roman" w:hAnsi="Times New Roman" w:cs="Times New Roman"/>
          <w:color w:val="000000"/>
          <w:sz w:val="24"/>
          <w:szCs w:val="24"/>
          <w:lang w:eastAsia="en-GB"/>
        </w:rPr>
        <w:t>). Meta-analyses combined the SMD for premorbid full-scale, verbal and performance IQ. Heterogeneity between study samples was assessed using Cochrane's heterogeneity statistic </w:t>
      </w:r>
      <w:r w:rsidRPr="00883F6B">
        <w:rPr>
          <w:rFonts w:ascii="Times New Roman" w:eastAsia="Times New Roman" w:hAnsi="Times New Roman" w:cs="Times New Roman"/>
          <w:i/>
          <w:iCs/>
          <w:color w:val="000000"/>
          <w:sz w:val="24"/>
          <w:szCs w:val="24"/>
          <w:lang w:eastAsia="en-GB"/>
        </w:rPr>
        <w:t>Q</w:t>
      </w:r>
      <w:r w:rsidRPr="00883F6B">
        <w:rPr>
          <w:rFonts w:ascii="Times New Roman" w:eastAsia="Times New Roman" w:hAnsi="Times New Roman" w:cs="Times New Roman"/>
          <w:color w:val="000000"/>
          <w:sz w:val="24"/>
          <w:szCs w:val="24"/>
          <w:lang w:eastAsia="en-GB"/>
        </w:rPr>
        <w:t>; random effect methods were used to allow for heterogeneity between studies (</w:t>
      </w:r>
      <w:hyperlink r:id="rId31" w:anchor="bb0065" w:history="1">
        <w:r w:rsidRPr="00883F6B">
          <w:rPr>
            <w:rFonts w:ascii="Times New Roman" w:eastAsia="Times New Roman" w:hAnsi="Times New Roman" w:cs="Times New Roman"/>
            <w:color w:val="642A8F"/>
            <w:sz w:val="24"/>
            <w:szCs w:val="24"/>
            <w:u w:val="single"/>
            <w:lang w:eastAsia="en-GB"/>
          </w:rPr>
          <w:t>Egger et al., 2001</w:t>
        </w:r>
      </w:hyperlink>
      <w:r w:rsidRPr="00883F6B">
        <w:rPr>
          <w:rFonts w:ascii="Times New Roman" w:eastAsia="Times New Roman" w:hAnsi="Times New Roman" w:cs="Times New Roman"/>
          <w:color w:val="000000"/>
          <w:sz w:val="24"/>
          <w:szCs w:val="24"/>
          <w:lang w:eastAsia="en-GB"/>
        </w:rPr>
        <w:t>). The </w:t>
      </w:r>
      <w:r w:rsidRPr="00883F6B">
        <w:rPr>
          <w:rFonts w:ascii="Times New Roman" w:eastAsia="Times New Roman" w:hAnsi="Times New Roman" w:cs="Times New Roman"/>
          <w:i/>
          <w:iCs/>
          <w:color w:val="000000"/>
          <w:sz w:val="24"/>
          <w:szCs w:val="24"/>
          <w:lang w:eastAsia="en-GB"/>
        </w:rPr>
        <w:t>I</w:t>
      </w:r>
      <w:r w:rsidRPr="00883F6B">
        <w:rPr>
          <w:rFonts w:ascii="Times New Roman" w:eastAsia="Times New Roman" w:hAnsi="Times New Roman" w:cs="Times New Roman"/>
          <w:color w:val="000000"/>
          <w:sz w:val="20"/>
          <w:szCs w:val="20"/>
          <w:vertAlign w:val="superscript"/>
          <w:lang w:eastAsia="en-GB"/>
        </w:rPr>
        <w:t>2</w:t>
      </w:r>
      <w:r w:rsidRPr="00883F6B">
        <w:rPr>
          <w:rFonts w:ascii="Times New Roman" w:eastAsia="Times New Roman" w:hAnsi="Times New Roman" w:cs="Times New Roman"/>
          <w:color w:val="000000"/>
          <w:sz w:val="24"/>
          <w:szCs w:val="24"/>
          <w:lang w:eastAsia="en-GB"/>
        </w:rPr>
        <w:t> statistic was calculated to express the fraction of variation between studies that was due to heterogeneity (</w:t>
      </w:r>
      <w:hyperlink r:id="rId32" w:anchor="bb0080" w:history="1">
        <w:r w:rsidRPr="00883F6B">
          <w:rPr>
            <w:rFonts w:ascii="Times New Roman" w:eastAsia="Times New Roman" w:hAnsi="Times New Roman" w:cs="Times New Roman"/>
            <w:color w:val="642A8F"/>
            <w:sz w:val="24"/>
            <w:szCs w:val="24"/>
            <w:u w:val="single"/>
            <w:lang w:eastAsia="en-GB"/>
          </w:rPr>
          <w:t>Higgins et al., 2003</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To estimate the risk associated with different levels of premorbid IQ, 5 available study samples were divided into 6 groups (IQ &lt; − 2SD, −2 to −1SD, −1 SD to 0, 0 to 1SD, 1 to 2SD and &gt; 2SD); the 0 to 1 SD group was used as reference. Three conscript studies reported data in 9 IQ groups (</w:t>
      </w:r>
      <w:hyperlink r:id="rId33" w:anchor="bb0075" w:history="1">
        <w:r w:rsidRPr="00883F6B">
          <w:rPr>
            <w:rFonts w:ascii="Times New Roman" w:eastAsia="Times New Roman" w:hAnsi="Times New Roman" w:cs="Times New Roman"/>
            <w:color w:val="642A8F"/>
            <w:sz w:val="24"/>
            <w:szCs w:val="24"/>
            <w:u w:val="single"/>
            <w:lang w:eastAsia="en-GB"/>
          </w:rPr>
          <w:t>Gunnell et al., 2002; Zammit et al., 2004; Tiihonen et al., 2005</w:t>
        </w:r>
      </w:hyperlink>
      <w:r w:rsidRPr="00883F6B">
        <w:rPr>
          <w:rFonts w:ascii="Times New Roman" w:eastAsia="Times New Roman" w:hAnsi="Times New Roman" w:cs="Times New Roman"/>
          <w:color w:val="000000"/>
          <w:sz w:val="24"/>
          <w:szCs w:val="24"/>
          <w:lang w:eastAsia="en-GB"/>
        </w:rPr>
        <w:t>); we merged the groups to create 6 IQ groups reflecting similar proportions of the population as in the above six-group classification. Average IQ for each of these 6 groups was then calculated.</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The dose–response relationship between IQ and risk of schizophrenia was assessed in two ways. First, we plotted the dose–response relationship in the 6 groups and combined them using multivariate random-effects meta-analysis (</w:t>
      </w:r>
      <w:hyperlink r:id="rId34" w:anchor="bb0215" w:history="1">
        <w:r w:rsidRPr="00883F6B">
          <w:rPr>
            <w:rFonts w:ascii="Times New Roman" w:eastAsia="Times New Roman" w:hAnsi="Times New Roman" w:cs="Times New Roman"/>
            <w:color w:val="642A8F"/>
            <w:sz w:val="24"/>
            <w:szCs w:val="24"/>
            <w:u w:val="single"/>
            <w:lang w:eastAsia="en-GB"/>
          </w:rPr>
          <w:t>White, 2008</w:t>
        </w:r>
      </w:hyperlink>
      <w:r w:rsidRPr="00883F6B">
        <w:rPr>
          <w:rFonts w:ascii="Times New Roman" w:eastAsia="Times New Roman" w:hAnsi="Times New Roman" w:cs="Times New Roman"/>
          <w:color w:val="000000"/>
          <w:sz w:val="24"/>
          <w:szCs w:val="24"/>
          <w:lang w:eastAsia="en-GB"/>
        </w:rPr>
        <w:t>). Second, logistic regression analysis was carried out to test for linearity. We fitted a quadratic model to each study, using group-specific mean IQ and its square as explanatory variables, and combined the quadratic terms in a random-effects meta-analysis: a mean significantly different from zero indicates overall non-linearity, while significant heterogeneity indicates that non-linearity occurs in at least some studies but differs between studies.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Longitudinal data with repeat measures of IQ on the same sample were available from only three studies (</w:t>
      </w:r>
      <w:hyperlink r:id="rId35" w:anchor="bb0095" w:history="1">
        <w:r w:rsidRPr="00883F6B">
          <w:rPr>
            <w:rFonts w:ascii="Times New Roman" w:eastAsia="Times New Roman" w:hAnsi="Times New Roman" w:cs="Times New Roman"/>
            <w:color w:val="642A8F"/>
            <w:sz w:val="24"/>
            <w:szCs w:val="24"/>
            <w:u w:val="single"/>
            <w:lang w:eastAsia="en-GB"/>
          </w:rPr>
          <w:t>Jones et al., 1994; Crow et al., 1995; Cannon et al., 2002</w:t>
        </w:r>
      </w:hyperlink>
      <w:r w:rsidRPr="00883F6B">
        <w:rPr>
          <w:rFonts w:ascii="Times New Roman" w:eastAsia="Times New Roman" w:hAnsi="Times New Roman" w:cs="Times New Roman"/>
          <w:color w:val="000000"/>
          <w:sz w:val="24"/>
          <w:szCs w:val="24"/>
          <w:lang w:eastAsia="en-GB"/>
        </w:rPr>
        <w:t>). In order to assess any change in IQ during the premorbid period, we plotted the Z scores at different age points to examine any change in IQ deficit over time. In addition, we separately meta-analyzed studies where IQ testing occurred ‘early’ (between age 7 and 12 years) versus ‘late’ (16–19 years), and tested the difference between these effect sizes (</w:t>
      </w:r>
      <w:hyperlink r:id="rId36" w:anchor="bb0005" w:history="1">
        <w:r w:rsidRPr="00883F6B">
          <w:rPr>
            <w:rFonts w:ascii="Times New Roman" w:eastAsia="Times New Roman" w:hAnsi="Times New Roman" w:cs="Times New Roman"/>
            <w:color w:val="642A8F"/>
            <w:sz w:val="24"/>
            <w:szCs w:val="24"/>
            <w:u w:val="single"/>
            <w:lang w:eastAsia="en-GB"/>
          </w:rPr>
          <w:t>Altman and Bland, 2003</w:t>
        </w:r>
      </w:hyperlink>
      <w:r w:rsidRPr="00883F6B">
        <w:rPr>
          <w:rFonts w:ascii="Times New Roman" w:eastAsia="Times New Roman" w:hAnsi="Times New Roman" w:cs="Times New Roman"/>
          <w:color w:val="000000"/>
          <w:sz w:val="24"/>
          <w:szCs w:val="24"/>
          <w:lang w:eastAsia="en-GB"/>
        </w:rPr>
        <w:t>). Meta-regression was also used to assess whether the magnitude of deficit in premorbid IQ correlated with the age of IQ testing.</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Meta-regression was used to examine the association between degree of IQ deficit and age of onset of schizophrenia. To test whether premorbid IQ decrement differed between men and women we carried out meta-regression of SMD on proportion of men among cases, adjusting for the age of IQ testing. Publication bias was assessed using funnel plots and Egger's test (</w:t>
      </w:r>
      <w:hyperlink r:id="rId37" w:anchor="bb0060" w:history="1">
        <w:r w:rsidRPr="00883F6B">
          <w:rPr>
            <w:rFonts w:ascii="Times New Roman" w:eastAsia="Times New Roman" w:hAnsi="Times New Roman" w:cs="Times New Roman"/>
            <w:color w:val="642A8F"/>
            <w:sz w:val="24"/>
            <w:szCs w:val="24"/>
            <w:u w:val="single"/>
            <w:lang w:eastAsia="en-GB"/>
          </w:rPr>
          <w:t>Egger et al., 1997</w:t>
        </w:r>
      </w:hyperlink>
      <w:r w:rsidRPr="00883F6B">
        <w:rPr>
          <w:rFonts w:ascii="Times New Roman" w:eastAsia="Times New Roman" w:hAnsi="Times New Roman" w:cs="Times New Roman"/>
          <w:color w:val="000000"/>
          <w:sz w:val="24"/>
          <w:szCs w:val="24"/>
          <w:lang w:eastAsia="en-GB"/>
        </w:rPr>
        <w:t>). Data were analyzed using Comprehensive Meta-Analysis Version 2.0 (Biostat Inc, Englewood, NJ, USA) and STATA 10 (StataCorp LP, Texas, USA).</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38"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3.</w:t>
      </w:r>
      <w:r w:rsidRPr="00883F6B">
        <w:rPr>
          <w:rFonts w:ascii="Arial" w:eastAsia="Times New Roman" w:hAnsi="Arial" w:cs="Arial"/>
          <w:color w:val="985735"/>
          <w:sz w:val="27"/>
          <w:szCs w:val="27"/>
          <w:lang w:eastAsia="en-GB"/>
        </w:rPr>
        <w:t> </w:t>
      </w:r>
      <w:r w:rsidRPr="00883F6B">
        <w:rPr>
          <w:rFonts w:ascii="Arial" w:eastAsia="Times New Roman" w:hAnsi="Arial" w:cs="Arial"/>
          <w:color w:val="985735"/>
          <w:sz w:val="27"/>
          <w:szCs w:val="27"/>
          <w:lang w:eastAsia="en-GB"/>
        </w:rPr>
        <w:t>Results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Electronic search identified 471 studies. On the basis of title and abstracts 25 (5.3%) potentially eligible studies were identified, of which 13 met inclusion criteria. One additional study was obtained from correspondence with authors. In total 14 studies were included in the review (</w:t>
      </w:r>
      <w:hyperlink r:id="rId39" w:tgtFrame="table" w:history="1">
        <w:r w:rsidRPr="00883F6B">
          <w:rPr>
            <w:rFonts w:ascii="Times New Roman" w:eastAsia="Times New Roman" w:hAnsi="Times New Roman" w:cs="Times New Roman"/>
            <w:color w:val="642A8F"/>
            <w:sz w:val="24"/>
            <w:szCs w:val="24"/>
            <w:u w:val="single"/>
            <w:lang w:eastAsia="en-GB"/>
          </w:rPr>
          <w:t>Table 1</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CF0"/>
        <w:spacing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Table 1</w:t>
      </w:r>
    </w:p>
    <w:p w:rsidR="00883F6B" w:rsidRPr="00883F6B" w:rsidRDefault="00883F6B" w:rsidP="00883F6B">
      <w:pPr>
        <w:shd w:val="clear" w:color="auto" w:fill="FFFCF0"/>
        <w:spacing w:before="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Studies included in the systematic review of premorbid intelligence and Schizophrenia.</w:t>
      </w:r>
    </w:p>
    <w:tbl>
      <w:tblPr>
        <w:tblW w:w="0" w:type="auto"/>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877"/>
        <w:gridCol w:w="868"/>
        <w:gridCol w:w="1565"/>
        <w:gridCol w:w="471"/>
        <w:gridCol w:w="643"/>
        <w:gridCol w:w="486"/>
        <w:gridCol w:w="590"/>
        <w:gridCol w:w="590"/>
        <w:gridCol w:w="548"/>
        <w:gridCol w:w="868"/>
        <w:gridCol w:w="985"/>
        <w:gridCol w:w="1061"/>
      </w:tblGrid>
      <w:tr w:rsidR="00883F6B" w:rsidRPr="00883F6B" w:rsidTr="00883F6B">
        <w:trPr>
          <w:tblHeader/>
        </w:trPr>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Study</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Design and setting</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Diagnostic criteria and outcome</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Case (n)</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Control (n)</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 of cases male</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Age at follow up (years)</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IQ test age (years)</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Mean age of onset, years (SD)</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IQ tests</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Case identification</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b/>
                <w:bCs/>
                <w:sz w:val="20"/>
                <w:szCs w:val="20"/>
                <w:lang w:eastAsia="en-GB"/>
              </w:rPr>
            </w:pPr>
            <w:r w:rsidRPr="00883F6B">
              <w:rPr>
                <w:rFonts w:ascii="Times New Roman" w:eastAsia="Times New Roman" w:hAnsi="Times New Roman" w:cs="Times New Roman"/>
                <w:b/>
                <w:bCs/>
                <w:sz w:val="20"/>
                <w:szCs w:val="20"/>
                <w:lang w:eastAsia="en-GB"/>
              </w:rPr>
              <w:t>Adjustment for confounding</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0" w:anchor="bb0095" w:history="1">
              <w:r w:rsidR="00883F6B" w:rsidRPr="00883F6B">
                <w:rPr>
                  <w:rFonts w:ascii="Times New Roman" w:eastAsia="Times New Roman" w:hAnsi="Times New Roman" w:cs="Times New Roman"/>
                  <w:color w:val="642A8F"/>
                  <w:sz w:val="20"/>
                  <w:szCs w:val="20"/>
                  <w:u w:val="single"/>
                  <w:lang w:eastAsia="en-GB"/>
                </w:rPr>
                <w:t>Jones et al. (1994)</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PC</w:t>
            </w:r>
            <w:r w:rsidRPr="00883F6B">
              <w:rPr>
                <w:rFonts w:ascii="Times New Roman" w:eastAsia="Times New Roman" w:hAnsi="Times New Roman" w:cs="Times New Roman"/>
                <w:sz w:val="20"/>
                <w:szCs w:val="20"/>
                <w:vertAlign w:val="superscript"/>
                <w:lang w:eastAsia="en-GB"/>
              </w:rPr>
              <w:t>a</w:t>
            </w:r>
            <w:r w:rsidRPr="00883F6B">
              <w:rPr>
                <w:rFonts w:ascii="Times New Roman" w:eastAsia="Times New Roman" w:hAnsi="Times New Roman" w:cs="Times New Roman"/>
                <w:sz w:val="20"/>
                <w:szCs w:val="20"/>
                <w:lang w:eastAsia="en-GB"/>
              </w:rPr>
              <w:t>—British 1946 birth cohort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DSM III R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24</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4133</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66.6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43</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8, 11, 15</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23.4 (2.7)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1st principal component</w:t>
            </w:r>
            <w:r w:rsidRPr="00883F6B">
              <w:rPr>
                <w:rFonts w:ascii="Times New Roman" w:eastAsia="Times New Roman" w:hAnsi="Times New Roman" w:cs="Times New Roman"/>
                <w:sz w:val="20"/>
                <w:szCs w:val="20"/>
                <w:vertAlign w:val="superscript"/>
                <w:lang w:eastAsia="en-GB"/>
              </w:rPr>
              <w:t>b</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Questionnaire, interview, hospital discharge register, present state examination</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Age, social class</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1" w:anchor="bb0045" w:history="1">
              <w:r w:rsidR="00883F6B" w:rsidRPr="00883F6B">
                <w:rPr>
                  <w:rFonts w:ascii="Times New Roman" w:eastAsia="Times New Roman" w:hAnsi="Times New Roman" w:cs="Times New Roman"/>
                  <w:color w:val="642A8F"/>
                  <w:sz w:val="20"/>
                  <w:szCs w:val="20"/>
                  <w:u w:val="single"/>
                  <w:lang w:eastAsia="en-GB"/>
                </w:rPr>
                <w:t>Crow et al. (1995)</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PC—British 1958 birth cohort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PSE CATEGO</w:t>
            </w:r>
            <w:r w:rsidRPr="00883F6B">
              <w:rPr>
                <w:rFonts w:ascii="Times New Roman" w:eastAsia="Times New Roman" w:hAnsi="Times New Roman" w:cs="Times New Roman"/>
                <w:sz w:val="20"/>
                <w:szCs w:val="20"/>
                <w:vertAlign w:val="superscript"/>
                <w:lang w:eastAsia="en-GB"/>
              </w:rPr>
              <w:t>c</w:t>
            </w:r>
            <w:r w:rsidRPr="00883F6B">
              <w:rPr>
                <w:rFonts w:ascii="Times New Roman" w:eastAsia="Times New Roman" w:hAnsi="Times New Roman" w:cs="Times New Roman"/>
                <w:sz w:val="20"/>
                <w:szCs w:val="20"/>
                <w:lang w:eastAsia="en-GB"/>
              </w:rPr>
              <w:t>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29</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1446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51.7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28</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7, 11, 16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General ability test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Hospital discharge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Social class</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2" w:anchor="bb0030" w:history="1">
              <w:r w:rsidR="00883F6B" w:rsidRPr="00883F6B">
                <w:rPr>
                  <w:rFonts w:ascii="Times New Roman" w:eastAsia="Times New Roman" w:hAnsi="Times New Roman" w:cs="Times New Roman"/>
                  <w:color w:val="642A8F"/>
                  <w:sz w:val="20"/>
                  <w:szCs w:val="20"/>
                  <w:u w:val="single"/>
                  <w:lang w:eastAsia="en-GB"/>
                </w:rPr>
                <w:t>Cannon et al. (2000)</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PC—NCPP: Philadelphia cohort, USA</w:t>
            </w:r>
            <w:r w:rsidRPr="00883F6B">
              <w:rPr>
                <w:rFonts w:ascii="Times New Roman" w:eastAsia="Times New Roman" w:hAnsi="Times New Roman" w:cs="Times New Roman"/>
                <w:sz w:val="20"/>
                <w:szCs w:val="20"/>
                <w:vertAlign w:val="superscript"/>
                <w:lang w:eastAsia="en-GB"/>
              </w:rPr>
              <w:t>d</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DSM IV Schizophrenia or schizoaffective</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57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5829</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72</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19–36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4, 7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Wechsler intelligence scale for children (WISC)</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Hospital discharge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Socio-demographic, obstetric, behavioral factors</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3" w:anchor="bb0200" w:history="1">
              <w:r w:rsidR="00883F6B" w:rsidRPr="00883F6B">
                <w:rPr>
                  <w:rFonts w:ascii="Times New Roman" w:eastAsia="Times New Roman" w:hAnsi="Times New Roman" w:cs="Times New Roman"/>
                  <w:color w:val="642A8F"/>
                  <w:sz w:val="20"/>
                  <w:szCs w:val="20"/>
                  <w:u w:val="single"/>
                  <w:lang w:eastAsia="en-GB"/>
                </w:rPr>
                <w:t xml:space="preserve">Walker et al. </w:t>
              </w:r>
              <w:r w:rsidR="00883F6B" w:rsidRPr="00883F6B">
                <w:rPr>
                  <w:rFonts w:ascii="Times New Roman" w:eastAsia="Times New Roman" w:hAnsi="Times New Roman" w:cs="Times New Roman"/>
                  <w:color w:val="642A8F"/>
                  <w:sz w:val="20"/>
                  <w:szCs w:val="20"/>
                  <w:u w:val="single"/>
                  <w:lang w:eastAsia="en-GB"/>
                </w:rPr>
                <w:lastRenderedPageBreak/>
                <w:t>(2002)</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RC</w:t>
            </w:r>
            <w:r w:rsidRPr="00883F6B">
              <w:rPr>
                <w:rFonts w:ascii="Times New Roman" w:eastAsia="Times New Roman" w:hAnsi="Times New Roman" w:cs="Times New Roman"/>
                <w:sz w:val="20"/>
                <w:szCs w:val="20"/>
                <w:vertAlign w:val="superscript"/>
                <w:lang w:eastAsia="en-GB"/>
              </w:rPr>
              <w:t>e</w:t>
            </w:r>
            <w:r w:rsidRPr="00883F6B">
              <w:rPr>
                <w:rFonts w:ascii="Times New Roman" w:eastAsia="Times New Roman" w:hAnsi="Times New Roman" w:cs="Times New Roman"/>
                <w:sz w:val="20"/>
                <w:szCs w:val="20"/>
                <w:lang w:eastAsia="en-GB"/>
              </w:rPr>
              <w:t xml:space="preserve">—Scottish mental </w:t>
            </w:r>
            <w:r w:rsidRPr="00883F6B">
              <w:rPr>
                <w:rFonts w:ascii="Times New Roman" w:eastAsia="Times New Roman" w:hAnsi="Times New Roman" w:cs="Times New Roman"/>
                <w:sz w:val="20"/>
                <w:szCs w:val="20"/>
                <w:lang w:eastAsia="en-GB"/>
              </w:rPr>
              <w:lastRenderedPageBreak/>
              <w:t>ability survey 1932</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 xml:space="preserve">ICD10: F20–29 Schizophrenia and related </w:t>
            </w:r>
            <w:r w:rsidRPr="00883F6B">
              <w:rPr>
                <w:rFonts w:ascii="Times New Roman" w:eastAsia="Times New Roman" w:hAnsi="Times New Roman" w:cs="Times New Roman"/>
                <w:sz w:val="20"/>
                <w:szCs w:val="20"/>
                <w:lang w:eastAsia="en-GB"/>
              </w:rPr>
              <w:lastRenderedPageBreak/>
              <w:t>conditions</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32</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3764</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65.5</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66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36.5 (16.</w:t>
            </w:r>
            <w:r w:rsidRPr="00883F6B">
              <w:rPr>
                <w:rFonts w:ascii="Times New Roman" w:eastAsia="Times New Roman" w:hAnsi="Times New Roman" w:cs="Times New Roman"/>
                <w:sz w:val="20"/>
                <w:szCs w:val="20"/>
                <w:lang w:eastAsia="en-GB"/>
              </w:rPr>
              <w:lastRenderedPageBreak/>
              <w:t>6)</w:t>
            </w:r>
            <w:r w:rsidRPr="00883F6B">
              <w:rPr>
                <w:rFonts w:ascii="Times New Roman" w:eastAsia="Times New Roman" w:hAnsi="Times New Roman" w:cs="Times New Roman"/>
                <w:sz w:val="20"/>
                <w:szCs w:val="20"/>
                <w:vertAlign w:val="superscript"/>
                <w:lang w:eastAsia="en-GB"/>
              </w:rPr>
              <w:t>f</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 xml:space="preserve">Moray house </w:t>
            </w:r>
            <w:r w:rsidRPr="00883F6B">
              <w:rPr>
                <w:rFonts w:ascii="Times New Roman" w:eastAsia="Times New Roman" w:hAnsi="Times New Roman" w:cs="Times New Roman"/>
                <w:sz w:val="20"/>
                <w:szCs w:val="20"/>
                <w:lang w:eastAsia="en-GB"/>
              </w:rPr>
              <w:lastRenderedPageBreak/>
              <w:t>test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 xml:space="preserve">Hospital discharge </w:t>
            </w:r>
            <w:r w:rsidRPr="00883F6B">
              <w:rPr>
                <w:rFonts w:ascii="Times New Roman" w:eastAsia="Times New Roman" w:hAnsi="Times New Roman" w:cs="Times New Roman"/>
                <w:sz w:val="20"/>
                <w:szCs w:val="20"/>
                <w:lang w:eastAsia="en-GB"/>
              </w:rPr>
              <w:lastRenderedPageBreak/>
              <w:t>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Age</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4" w:anchor="bb0035" w:history="1">
              <w:r w:rsidR="00883F6B" w:rsidRPr="00883F6B">
                <w:rPr>
                  <w:rFonts w:ascii="Times New Roman" w:eastAsia="Times New Roman" w:hAnsi="Times New Roman" w:cs="Times New Roman"/>
                  <w:color w:val="642A8F"/>
                  <w:sz w:val="20"/>
                  <w:szCs w:val="20"/>
                  <w:u w:val="single"/>
                  <w:lang w:eastAsia="en-GB"/>
                </w:rPr>
                <w:t>Cannon et al. (2002)</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PC—Dunedin birth cohort, New Zealand</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DSM IV Schizophreniform</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33</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598</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32</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3, 5, 7, 9, 11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Revised Wechsler intelligence scale for children (WISC-R)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Diagnostic interview schedule (DIS)</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Socioeconomic, obstetric and maternal factors</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5" w:anchor="bb0075" w:history="1">
              <w:r w:rsidR="00883F6B" w:rsidRPr="00883F6B">
                <w:rPr>
                  <w:rFonts w:ascii="Times New Roman" w:eastAsia="Times New Roman" w:hAnsi="Times New Roman" w:cs="Times New Roman"/>
                  <w:color w:val="642A8F"/>
                  <w:sz w:val="20"/>
                  <w:szCs w:val="20"/>
                  <w:u w:val="single"/>
                  <w:lang w:eastAsia="en-GB"/>
                </w:rPr>
                <w:t>Gunnell et al. (2002)</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 xml:space="preserve">RC—Swedish </w:t>
            </w:r>
            <w:r w:rsidRPr="00883F6B">
              <w:rPr>
                <w:rFonts w:ascii="Times New Roman" w:eastAsia="Times New Roman" w:hAnsi="Times New Roman" w:cs="Times New Roman"/>
                <w:sz w:val="20"/>
                <w:szCs w:val="20"/>
                <w:lang w:eastAsia="en-GB"/>
              </w:rPr>
              <w:lastRenderedPageBreak/>
              <w:t>conscript cohort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ICD 10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60</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109 491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100</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18–25</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18</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20.8 (1.5)</w:t>
            </w:r>
            <w:r w:rsidRPr="00883F6B">
              <w:rPr>
                <w:rFonts w:ascii="Times New Roman" w:eastAsia="Times New Roman" w:hAnsi="Times New Roman" w:cs="Times New Roman"/>
                <w:sz w:val="20"/>
                <w:szCs w:val="20"/>
                <w:vertAlign w:val="superscript"/>
                <w:lang w:eastAsia="en-GB"/>
              </w:rPr>
              <w:t>f</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Synonym and visuosp</w:t>
            </w:r>
            <w:r w:rsidRPr="00883F6B">
              <w:rPr>
                <w:rFonts w:ascii="Times New Roman" w:eastAsia="Times New Roman" w:hAnsi="Times New Roman" w:cs="Times New Roman"/>
                <w:sz w:val="20"/>
                <w:szCs w:val="20"/>
                <w:lang w:eastAsia="en-GB"/>
              </w:rPr>
              <w:lastRenderedPageBreak/>
              <w:t>atial test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National Inpatient Discharg</w:t>
            </w:r>
            <w:r w:rsidRPr="00883F6B">
              <w:rPr>
                <w:rFonts w:ascii="Times New Roman" w:eastAsia="Times New Roman" w:hAnsi="Times New Roman" w:cs="Times New Roman"/>
                <w:sz w:val="20"/>
                <w:szCs w:val="20"/>
                <w:lang w:eastAsia="en-GB"/>
              </w:rPr>
              <w:lastRenderedPageBreak/>
              <w:t>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 xml:space="preserve">Age, obstetric and </w:t>
            </w:r>
            <w:r w:rsidRPr="00883F6B">
              <w:rPr>
                <w:rFonts w:ascii="Times New Roman" w:eastAsia="Times New Roman" w:hAnsi="Times New Roman" w:cs="Times New Roman"/>
                <w:sz w:val="20"/>
                <w:szCs w:val="20"/>
                <w:lang w:eastAsia="en-GB"/>
              </w:rPr>
              <w:lastRenderedPageBreak/>
              <w:t>maternal factors, parental education</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6" w:anchor="bb0040" w:history="1">
              <w:r w:rsidR="00883F6B" w:rsidRPr="00883F6B">
                <w:rPr>
                  <w:rFonts w:ascii="Times New Roman" w:eastAsia="Times New Roman" w:hAnsi="Times New Roman" w:cs="Times New Roman"/>
                  <w:color w:val="642A8F"/>
                  <w:sz w:val="20"/>
                  <w:szCs w:val="20"/>
                  <w:u w:val="single"/>
                  <w:lang w:eastAsia="en-GB"/>
                </w:rPr>
                <w:t>Caspi et al. (2003)</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NCC</w:t>
            </w:r>
            <w:r w:rsidRPr="00883F6B">
              <w:rPr>
                <w:rFonts w:ascii="Times New Roman" w:eastAsia="Times New Roman" w:hAnsi="Times New Roman" w:cs="Times New Roman"/>
                <w:sz w:val="20"/>
                <w:szCs w:val="20"/>
                <w:vertAlign w:val="superscript"/>
                <w:lang w:eastAsia="en-GB"/>
              </w:rPr>
              <w:t>g</w:t>
            </w:r>
            <w:r w:rsidRPr="00883F6B">
              <w:rPr>
                <w:rFonts w:ascii="Times New Roman" w:eastAsia="Times New Roman" w:hAnsi="Times New Roman" w:cs="Times New Roman"/>
                <w:sz w:val="20"/>
                <w:szCs w:val="20"/>
                <w:lang w:eastAsia="en-GB"/>
              </w:rPr>
              <w:t>—Israeli conscript cohort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DSM IV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44</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44</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75</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19–31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16–17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22.5 (3.5)</w:t>
            </w:r>
            <w:r w:rsidRPr="00883F6B">
              <w:rPr>
                <w:rFonts w:ascii="Times New Roman" w:eastAsia="Times New Roman" w:hAnsi="Times New Roman" w:cs="Times New Roman"/>
                <w:sz w:val="20"/>
                <w:szCs w:val="20"/>
                <w:vertAlign w:val="superscript"/>
                <w:lang w:eastAsia="en-GB"/>
              </w:rPr>
              <w:t>f</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Modified Raven's progressive matrices, Otis type verbal IQ test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Structured Clinical Interview for DSM (SCID)</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Sex, country of origin, age, education</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7" w:anchor="bb0135" w:history="1">
              <w:r w:rsidR="00883F6B" w:rsidRPr="00883F6B">
                <w:rPr>
                  <w:rFonts w:ascii="Times New Roman" w:eastAsia="Times New Roman" w:hAnsi="Times New Roman" w:cs="Times New Roman"/>
                  <w:color w:val="642A8F"/>
                  <w:sz w:val="20"/>
                  <w:szCs w:val="20"/>
                  <w:u w:val="single"/>
                  <w:lang w:eastAsia="en-GB"/>
                </w:rPr>
                <w:t xml:space="preserve">Niendam et al. </w:t>
              </w:r>
              <w:r w:rsidR="00883F6B" w:rsidRPr="00883F6B">
                <w:rPr>
                  <w:rFonts w:ascii="Times New Roman" w:eastAsia="Times New Roman" w:hAnsi="Times New Roman" w:cs="Times New Roman"/>
                  <w:color w:val="642A8F"/>
                  <w:sz w:val="20"/>
                  <w:szCs w:val="20"/>
                  <w:u w:val="single"/>
                  <w:lang w:eastAsia="en-GB"/>
                </w:rPr>
                <w:lastRenderedPageBreak/>
                <w:t>(2003)</w:t>
              </w:r>
            </w:hyperlink>
            <w:r w:rsidR="00883F6B" w:rsidRPr="00883F6B">
              <w:rPr>
                <w:rFonts w:ascii="Times New Roman" w:eastAsia="Times New Roman" w:hAnsi="Times New Roman" w:cs="Times New Roman"/>
                <w:sz w:val="20"/>
                <w:szCs w:val="20"/>
                <w:vertAlign w:val="superscript"/>
                <w:lang w:eastAsia="en-GB"/>
              </w:rPr>
              <w:t>h</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 xml:space="preserve">NCC—NCPP: </w:t>
            </w:r>
            <w:r w:rsidRPr="00883F6B">
              <w:rPr>
                <w:rFonts w:ascii="Times New Roman" w:eastAsia="Times New Roman" w:hAnsi="Times New Roman" w:cs="Times New Roman"/>
                <w:sz w:val="20"/>
                <w:szCs w:val="20"/>
                <w:lang w:eastAsia="en-GB"/>
              </w:rPr>
              <w:lastRenderedPageBreak/>
              <w:t>Philadelphia cohort, USA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 xml:space="preserve">DSM IV schizophrenia or </w:t>
            </w:r>
            <w:r w:rsidRPr="00883F6B">
              <w:rPr>
                <w:rFonts w:ascii="Times New Roman" w:eastAsia="Times New Roman" w:hAnsi="Times New Roman" w:cs="Times New Roman"/>
                <w:sz w:val="20"/>
                <w:szCs w:val="20"/>
                <w:lang w:eastAsia="en-GB"/>
              </w:rPr>
              <w:lastRenderedPageBreak/>
              <w:t>schizoaffective</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32</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201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34</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19–36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 xml:space="preserve">Vocabulary and </w:t>
            </w:r>
            <w:r w:rsidRPr="00883F6B">
              <w:rPr>
                <w:rFonts w:ascii="Times New Roman" w:eastAsia="Times New Roman" w:hAnsi="Times New Roman" w:cs="Times New Roman"/>
                <w:sz w:val="20"/>
                <w:szCs w:val="20"/>
                <w:lang w:eastAsia="en-GB"/>
              </w:rPr>
              <w:lastRenderedPageBreak/>
              <w:t>block design</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 xml:space="preserve">Hospital discharge </w:t>
            </w:r>
            <w:r w:rsidRPr="00883F6B">
              <w:rPr>
                <w:rFonts w:ascii="Times New Roman" w:eastAsia="Times New Roman" w:hAnsi="Times New Roman" w:cs="Times New Roman"/>
                <w:sz w:val="20"/>
                <w:szCs w:val="20"/>
                <w:lang w:eastAsia="en-GB"/>
              </w:rPr>
              <w:lastRenderedPageBreak/>
              <w:t>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Age, socio-</w:t>
            </w:r>
            <w:r w:rsidRPr="00883F6B">
              <w:rPr>
                <w:rFonts w:ascii="Times New Roman" w:eastAsia="Times New Roman" w:hAnsi="Times New Roman" w:cs="Times New Roman"/>
                <w:sz w:val="20"/>
                <w:szCs w:val="20"/>
                <w:lang w:eastAsia="en-GB"/>
              </w:rPr>
              <w:lastRenderedPageBreak/>
              <w:t>economic status</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8" w:anchor="bb0230" w:history="1">
              <w:r w:rsidR="00883F6B" w:rsidRPr="00883F6B">
                <w:rPr>
                  <w:rFonts w:ascii="Times New Roman" w:eastAsia="Times New Roman" w:hAnsi="Times New Roman" w:cs="Times New Roman"/>
                  <w:color w:val="642A8F"/>
                  <w:sz w:val="20"/>
                  <w:szCs w:val="20"/>
                  <w:u w:val="single"/>
                  <w:lang w:eastAsia="en-GB"/>
                </w:rPr>
                <w:t>Zammit et al. (2004)</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RC—Swedish conscript cohort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ICD 8 and ICD 9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362</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49 161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100</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45–47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18</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28.2 (5.9)</w:t>
            </w:r>
            <w:r w:rsidRPr="00883F6B">
              <w:rPr>
                <w:rFonts w:ascii="Times New Roman" w:eastAsia="Times New Roman" w:hAnsi="Times New Roman" w:cs="Times New Roman"/>
                <w:sz w:val="20"/>
                <w:szCs w:val="20"/>
                <w:vertAlign w:val="superscript"/>
                <w:lang w:eastAsia="en-GB"/>
              </w:rPr>
              <w:t>f</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Visuospatial test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National Inpatient discharge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49" w:anchor="bb0160" w:history="1">
              <w:r w:rsidR="00883F6B" w:rsidRPr="00883F6B">
                <w:rPr>
                  <w:rFonts w:ascii="Times New Roman" w:eastAsia="Times New Roman" w:hAnsi="Times New Roman" w:cs="Times New Roman"/>
                  <w:color w:val="642A8F"/>
                  <w:sz w:val="20"/>
                  <w:szCs w:val="20"/>
                  <w:u w:val="single"/>
                  <w:lang w:eastAsia="en-GB"/>
                </w:rPr>
                <w:t>Reichenberg et al. (2005)</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RC—Israeli conscript cohort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ICD 10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1856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549 466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76</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24–34</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16–17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23.8 (3.7)</w:t>
            </w:r>
            <w:r w:rsidRPr="00883F6B">
              <w:rPr>
                <w:rFonts w:ascii="Times New Roman" w:eastAsia="Times New Roman" w:hAnsi="Times New Roman" w:cs="Times New Roman"/>
                <w:sz w:val="20"/>
                <w:szCs w:val="20"/>
                <w:vertAlign w:val="superscript"/>
                <w:lang w:eastAsia="en-GB"/>
              </w:rPr>
              <w:t>f</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Verbal and non-verbal analogies</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National Inpatient discharge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Sex, socioeconomic status</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50" w:anchor="bb0185" w:history="1">
              <w:r w:rsidR="00883F6B" w:rsidRPr="00883F6B">
                <w:rPr>
                  <w:rFonts w:ascii="Times New Roman" w:eastAsia="Times New Roman" w:hAnsi="Times New Roman" w:cs="Times New Roman"/>
                  <w:color w:val="642A8F"/>
                  <w:sz w:val="20"/>
                  <w:szCs w:val="20"/>
                  <w:u w:val="single"/>
                  <w:lang w:eastAsia="en-GB"/>
                </w:rPr>
                <w:t>Tiihonen et al. (2005)</w:t>
              </w:r>
            </w:hyperlink>
            <w:r w:rsidR="00883F6B" w:rsidRPr="00883F6B">
              <w:rPr>
                <w:rFonts w:ascii="Times New Roman" w:eastAsia="Times New Roman" w:hAnsi="Times New Roman" w:cs="Times New Roman"/>
                <w:sz w:val="20"/>
                <w:szCs w:val="20"/>
                <w:vertAlign w:val="superscript"/>
                <w:lang w:eastAsia="en-GB"/>
              </w:rPr>
              <w:t>i</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RC—Finnish conscript cohort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ICD 8 and ICD 9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607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189 027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100</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19.9</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Verbal, arithmetic and visuospatial reasoning tests</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National inpatient discharge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Age, over-all test performance</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51" w:anchor="bb0170" w:history="1">
              <w:r w:rsidR="00883F6B" w:rsidRPr="00883F6B">
                <w:rPr>
                  <w:rFonts w:ascii="Times New Roman" w:eastAsia="Times New Roman" w:hAnsi="Times New Roman" w:cs="Times New Roman"/>
                  <w:color w:val="642A8F"/>
                  <w:sz w:val="20"/>
                  <w:szCs w:val="20"/>
                  <w:u w:val="single"/>
                  <w:lang w:eastAsia="en-GB"/>
                </w:rPr>
                <w:t>Seidman et al. (2006)</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NCC—NCPP: New England cohort, USA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DSM IV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61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79.4</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28</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Wechsler intelligence scale for children (WISC)</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DIS, SCID, hospital discharge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Sex, ethnicity, socioeconomic status</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52" w:anchor="bb0145" w:history="1">
              <w:r w:rsidR="00883F6B" w:rsidRPr="00883F6B">
                <w:rPr>
                  <w:rFonts w:ascii="Times New Roman" w:eastAsia="Times New Roman" w:hAnsi="Times New Roman" w:cs="Times New Roman"/>
                  <w:color w:val="642A8F"/>
                  <w:sz w:val="20"/>
                  <w:szCs w:val="20"/>
                  <w:u w:val="single"/>
                  <w:lang w:eastAsia="en-GB"/>
                </w:rPr>
                <w:t>Osler et al. (2007)</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PC—Danish longitudinal study</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ICD 10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87</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6790</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100</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19–49</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12</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35.2 (9.6)</w:t>
            </w:r>
            <w:r w:rsidRPr="00883F6B">
              <w:rPr>
                <w:rFonts w:ascii="Times New Roman" w:eastAsia="Times New Roman" w:hAnsi="Times New Roman" w:cs="Times New Roman"/>
                <w:sz w:val="20"/>
                <w:szCs w:val="20"/>
                <w:vertAlign w:val="superscript"/>
                <w:lang w:eastAsia="en-GB"/>
              </w:rPr>
              <w:t>f</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Härnquist test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National inpatient discharge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Birth weight, social class, education, marital status, employment</w:t>
            </w:r>
          </w:p>
        </w:tc>
      </w:tr>
      <w:tr w:rsidR="00883F6B" w:rsidRPr="00883F6B" w:rsidTr="00883F6B">
        <w:tc>
          <w:tcPr>
            <w:tcW w:w="0" w:type="auto"/>
            <w:tcBorders>
              <w:top w:val="nil"/>
              <w:left w:val="nil"/>
              <w:bottom w:val="nil"/>
              <w:right w:val="nil"/>
            </w:tcBorders>
            <w:tcMar>
              <w:top w:w="48" w:type="dxa"/>
              <w:left w:w="96" w:type="dxa"/>
              <w:bottom w:w="48" w:type="dxa"/>
              <w:right w:w="96" w:type="dxa"/>
            </w:tcMar>
            <w:hideMark/>
          </w:tcPr>
          <w:p w:rsidR="00883F6B" w:rsidRPr="00883F6B" w:rsidRDefault="00694C4A" w:rsidP="00883F6B">
            <w:pPr>
              <w:spacing w:before="332" w:after="332" w:line="393" w:lineRule="atLeast"/>
              <w:rPr>
                <w:rFonts w:ascii="Times New Roman" w:eastAsia="Times New Roman" w:hAnsi="Times New Roman" w:cs="Times New Roman"/>
                <w:sz w:val="20"/>
                <w:szCs w:val="20"/>
                <w:lang w:eastAsia="en-GB"/>
              </w:rPr>
            </w:pPr>
            <w:hyperlink r:id="rId53" w:anchor="bb0190" w:history="1">
              <w:r w:rsidR="00883F6B" w:rsidRPr="00883F6B">
                <w:rPr>
                  <w:rFonts w:ascii="Times New Roman" w:eastAsia="Times New Roman" w:hAnsi="Times New Roman" w:cs="Times New Roman"/>
                  <w:color w:val="642A8F"/>
                  <w:sz w:val="20"/>
                  <w:szCs w:val="20"/>
                  <w:u w:val="single"/>
                  <w:lang w:eastAsia="en-GB"/>
                </w:rPr>
                <w:t>Urfer-Parnas et al. (2010)</w:t>
              </w:r>
            </w:hyperlink>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NCC—Danish conscript cohort</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ICD 8 to ICD 10 schizophrenia</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1779</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20 531</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jc w:val="center"/>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100</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43–54</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19.5</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30.4 (7.8)</w:t>
            </w:r>
            <w:r w:rsidRPr="00883F6B">
              <w:rPr>
                <w:rFonts w:ascii="Times New Roman" w:eastAsia="Times New Roman" w:hAnsi="Times New Roman" w:cs="Times New Roman"/>
                <w:sz w:val="20"/>
                <w:szCs w:val="20"/>
                <w:vertAlign w:val="superscript"/>
                <w:lang w:eastAsia="en-GB"/>
              </w:rPr>
              <w:t>f</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 xml:space="preserve">Børge Priens Prøve (letter matrices, verbal analogies, </w:t>
            </w:r>
            <w:r w:rsidRPr="00883F6B">
              <w:rPr>
                <w:rFonts w:ascii="Times New Roman" w:eastAsia="Times New Roman" w:hAnsi="Times New Roman" w:cs="Times New Roman"/>
                <w:sz w:val="20"/>
                <w:szCs w:val="20"/>
                <w:lang w:eastAsia="en-GB"/>
              </w:rPr>
              <w:lastRenderedPageBreak/>
              <w:t>number series, geometric figures)</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lastRenderedPageBreak/>
              <w:t>National inpatient discharge register</w:t>
            </w:r>
          </w:p>
        </w:tc>
        <w:tc>
          <w:tcPr>
            <w:tcW w:w="0" w:type="auto"/>
            <w:tcBorders>
              <w:top w:val="nil"/>
              <w:left w:val="nil"/>
              <w:bottom w:val="nil"/>
              <w:right w:val="nil"/>
            </w:tcBorders>
            <w:tcMar>
              <w:top w:w="48" w:type="dxa"/>
              <w:left w:w="96" w:type="dxa"/>
              <w:bottom w:w="48" w:type="dxa"/>
              <w:right w:w="96" w:type="dxa"/>
            </w:tcMar>
            <w:hideMark/>
          </w:tcPr>
          <w:p w:rsidR="00883F6B" w:rsidRPr="00883F6B" w:rsidRDefault="00883F6B" w:rsidP="00883F6B">
            <w:pPr>
              <w:spacing w:before="332" w:after="332" w:line="393" w:lineRule="atLeast"/>
              <w:rPr>
                <w:rFonts w:ascii="Times New Roman" w:eastAsia="Times New Roman" w:hAnsi="Times New Roman" w:cs="Times New Roman"/>
                <w:sz w:val="20"/>
                <w:szCs w:val="20"/>
                <w:lang w:eastAsia="en-GB"/>
              </w:rPr>
            </w:pPr>
            <w:r w:rsidRPr="00883F6B">
              <w:rPr>
                <w:rFonts w:ascii="Times New Roman" w:eastAsia="Times New Roman" w:hAnsi="Times New Roman" w:cs="Times New Roman"/>
                <w:sz w:val="20"/>
                <w:szCs w:val="20"/>
                <w:lang w:eastAsia="en-GB"/>
              </w:rPr>
              <w:t>–</w:t>
            </w:r>
          </w:p>
        </w:tc>
      </w:tr>
    </w:tbl>
    <w:p w:rsidR="00883F6B" w:rsidRPr="00883F6B" w:rsidRDefault="00694C4A" w:rsidP="00883F6B">
      <w:pPr>
        <w:shd w:val="clear" w:color="auto" w:fill="FFFCF0"/>
        <w:spacing w:after="0" w:line="240" w:lineRule="auto"/>
        <w:jc w:val="right"/>
        <w:rPr>
          <w:rFonts w:ascii="Times New Roman" w:eastAsia="Times New Roman" w:hAnsi="Times New Roman" w:cs="Times New Roman"/>
          <w:color w:val="000000"/>
          <w:sz w:val="24"/>
          <w:szCs w:val="24"/>
          <w:lang w:eastAsia="en-GB"/>
        </w:rPr>
      </w:pPr>
      <w:hyperlink r:id="rId54" w:tgtFrame="object" w:history="1">
        <w:r w:rsidR="00883F6B" w:rsidRPr="00883F6B">
          <w:rPr>
            <w:rFonts w:ascii="Times New Roman" w:eastAsia="Times New Roman" w:hAnsi="Times New Roman" w:cs="Times New Roman"/>
            <w:color w:val="642A8F"/>
            <w:sz w:val="24"/>
            <w:szCs w:val="24"/>
            <w:u w:val="single"/>
            <w:lang w:eastAsia="en-GB"/>
          </w:rPr>
          <w:t>Open in a separate window</w:t>
        </w:r>
      </w:hyperlink>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a</w:t>
      </w:r>
      <w:r w:rsidRPr="00883F6B">
        <w:rPr>
          <w:rFonts w:ascii="Times New Roman" w:eastAsia="Times New Roman" w:hAnsi="Times New Roman" w:cs="Times New Roman"/>
          <w:color w:val="000000"/>
          <w:sz w:val="20"/>
          <w:szCs w:val="20"/>
          <w:lang w:eastAsia="en-GB"/>
        </w:rPr>
        <w:t>PC—Prospective cohort study.</w:t>
      </w:r>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b</w:t>
      </w:r>
      <w:r w:rsidRPr="00883F6B">
        <w:rPr>
          <w:rFonts w:ascii="Times New Roman" w:eastAsia="Times New Roman" w:hAnsi="Times New Roman" w:cs="Times New Roman"/>
          <w:color w:val="000000"/>
          <w:sz w:val="20"/>
          <w:szCs w:val="20"/>
          <w:lang w:eastAsia="en-GB"/>
        </w:rPr>
        <w:t>1st principal component derived from all tests used at each age which included tests for verbal, nonverbal and mathematical skills.</w:t>
      </w:r>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c</w:t>
      </w:r>
      <w:r w:rsidRPr="00883F6B">
        <w:rPr>
          <w:rFonts w:ascii="Times New Roman" w:eastAsia="Times New Roman" w:hAnsi="Times New Roman" w:cs="Times New Roman"/>
          <w:color w:val="000000"/>
          <w:sz w:val="20"/>
          <w:szCs w:val="20"/>
          <w:lang w:eastAsia="en-GB"/>
        </w:rPr>
        <w:t>Present state examination and CATEGO.</w:t>
      </w:r>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d</w:t>
      </w:r>
      <w:r w:rsidRPr="00883F6B">
        <w:rPr>
          <w:rFonts w:ascii="Times New Roman" w:eastAsia="Times New Roman" w:hAnsi="Times New Roman" w:cs="Times New Roman"/>
          <w:color w:val="000000"/>
          <w:sz w:val="20"/>
          <w:szCs w:val="20"/>
          <w:lang w:eastAsia="en-GB"/>
        </w:rPr>
        <w:t>National Collaborative Perinatal Project (NCPP)—USA.</w:t>
      </w:r>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e</w:t>
      </w:r>
      <w:r w:rsidRPr="00883F6B">
        <w:rPr>
          <w:rFonts w:ascii="Times New Roman" w:eastAsia="Times New Roman" w:hAnsi="Times New Roman" w:cs="Times New Roman"/>
          <w:color w:val="000000"/>
          <w:sz w:val="20"/>
          <w:szCs w:val="20"/>
          <w:lang w:eastAsia="en-GB"/>
        </w:rPr>
        <w:t>RC—Retrospective cohort study.</w:t>
      </w:r>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f</w:t>
      </w:r>
      <w:r w:rsidRPr="00883F6B">
        <w:rPr>
          <w:rFonts w:ascii="Times New Roman" w:eastAsia="Times New Roman" w:hAnsi="Times New Roman" w:cs="Times New Roman"/>
          <w:color w:val="000000"/>
          <w:sz w:val="20"/>
          <w:szCs w:val="20"/>
          <w:lang w:eastAsia="en-GB"/>
        </w:rPr>
        <w:t>Age at the time of first hospital admission for schizophrenia.</w:t>
      </w:r>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g</w:t>
      </w:r>
      <w:r w:rsidRPr="00883F6B">
        <w:rPr>
          <w:rFonts w:ascii="Times New Roman" w:eastAsia="Times New Roman" w:hAnsi="Times New Roman" w:cs="Times New Roman"/>
          <w:color w:val="000000"/>
          <w:sz w:val="20"/>
          <w:szCs w:val="20"/>
          <w:lang w:eastAsia="en-GB"/>
        </w:rPr>
        <w:t>NCC—Nested case–control study.</w:t>
      </w:r>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h</w:t>
      </w:r>
      <w:r w:rsidRPr="00883F6B">
        <w:rPr>
          <w:rFonts w:ascii="Times New Roman" w:eastAsia="Times New Roman" w:hAnsi="Times New Roman" w:cs="Times New Roman"/>
          <w:color w:val="000000"/>
          <w:sz w:val="20"/>
          <w:szCs w:val="20"/>
          <w:lang w:eastAsia="en-GB"/>
        </w:rPr>
        <w:t>Study sample is a sub-set of T </w:t>
      </w:r>
      <w:hyperlink r:id="rId55" w:anchor="bb0030" w:history="1">
        <w:r w:rsidRPr="00883F6B">
          <w:rPr>
            <w:rFonts w:ascii="Times New Roman" w:eastAsia="Times New Roman" w:hAnsi="Times New Roman" w:cs="Times New Roman"/>
            <w:color w:val="642A8F"/>
            <w:sz w:val="20"/>
            <w:szCs w:val="20"/>
            <w:u w:val="single"/>
            <w:lang w:eastAsia="en-GB"/>
          </w:rPr>
          <w:t>Cannon et al. (2000)</w:t>
        </w:r>
      </w:hyperlink>
      <w:r w:rsidRPr="00883F6B">
        <w:rPr>
          <w:rFonts w:ascii="Times New Roman" w:eastAsia="Times New Roman" w:hAnsi="Times New Roman" w:cs="Times New Roman"/>
          <w:color w:val="000000"/>
          <w:sz w:val="20"/>
          <w:szCs w:val="20"/>
          <w:lang w:eastAsia="en-GB"/>
        </w:rPr>
        <w:t> used in the meta-analysis of premorbid verbal and performance IQ.</w:t>
      </w:r>
    </w:p>
    <w:p w:rsidR="00883F6B" w:rsidRPr="00883F6B" w:rsidRDefault="00883F6B" w:rsidP="00883F6B">
      <w:pPr>
        <w:shd w:val="clear" w:color="auto" w:fill="FFFCF0"/>
        <w:spacing w:line="240" w:lineRule="auto"/>
        <w:rPr>
          <w:rFonts w:ascii="Times New Roman" w:eastAsia="Times New Roman" w:hAnsi="Times New Roman" w:cs="Times New Roman"/>
          <w:color w:val="000000"/>
          <w:sz w:val="20"/>
          <w:szCs w:val="20"/>
          <w:lang w:eastAsia="en-GB"/>
        </w:rPr>
      </w:pPr>
      <w:r w:rsidRPr="00883F6B">
        <w:rPr>
          <w:rFonts w:ascii="Times New Roman" w:eastAsia="Times New Roman" w:hAnsi="Times New Roman" w:cs="Times New Roman"/>
          <w:color w:val="000000"/>
          <w:sz w:val="17"/>
          <w:szCs w:val="17"/>
          <w:vertAlign w:val="superscript"/>
          <w:lang w:eastAsia="en-GB"/>
        </w:rPr>
        <w:t>i</w:t>
      </w:r>
      <w:r w:rsidRPr="00883F6B">
        <w:rPr>
          <w:rFonts w:ascii="Times New Roman" w:eastAsia="Times New Roman" w:hAnsi="Times New Roman" w:cs="Times New Roman"/>
          <w:color w:val="000000"/>
          <w:sz w:val="20"/>
          <w:szCs w:val="20"/>
          <w:lang w:eastAsia="en-GB"/>
        </w:rPr>
        <w:t>Study used only in the dose–response analysis as data was not available in appropriate format to use in other analyses.</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3.1. Premorbid IQ in schizophrenia</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lastRenderedPageBreak/>
        <w:t>A measure of premorbid full-scale IQ was available from 12 studies, which included 4396 cases and 745 720 controls (</w:t>
      </w:r>
      <w:hyperlink r:id="rId56" w:anchor="bb0095" w:history="1">
        <w:r w:rsidRPr="00883F6B">
          <w:rPr>
            <w:rFonts w:ascii="Times New Roman" w:eastAsia="Times New Roman" w:hAnsi="Times New Roman" w:cs="Times New Roman"/>
            <w:color w:val="642A8F"/>
            <w:sz w:val="24"/>
            <w:szCs w:val="24"/>
            <w:u w:val="single"/>
            <w:lang w:eastAsia="en-GB"/>
          </w:rPr>
          <w:t>Jones et al., 1994; Crow et al., 1995; Cannon et al., 2000; Gunnell et al., 2002; Walker et al., 2002; Caspi et al., 2003; Zammit et al., 2004; Reichenberg et al., 2005; Seidman et al., 2006; Osler et al., 2007; Urfer-Parnas et al., 2010</w:t>
        </w:r>
      </w:hyperlink>
      <w:r w:rsidRPr="00883F6B">
        <w:rPr>
          <w:rFonts w:ascii="Times New Roman" w:eastAsia="Times New Roman" w:hAnsi="Times New Roman" w:cs="Times New Roman"/>
          <w:color w:val="000000"/>
          <w:sz w:val="24"/>
          <w:szCs w:val="24"/>
          <w:lang w:eastAsia="en-GB"/>
        </w:rPr>
        <w:t>). Standardized Mean Difference (SMD) in premorbid full-scale IQ between cases and controls was − 0.43 (95% confidence interval (CI) −0.53 to − 0.34), p &lt; 0.0001; see </w:t>
      </w:r>
      <w:hyperlink r:id="rId57" w:tgtFrame="figure" w:history="1">
        <w:r w:rsidRPr="00883F6B">
          <w:rPr>
            <w:rFonts w:ascii="Times New Roman" w:eastAsia="Times New Roman" w:hAnsi="Times New Roman" w:cs="Times New Roman"/>
            <w:color w:val="642A8F"/>
            <w:sz w:val="24"/>
            <w:szCs w:val="24"/>
            <w:u w:val="single"/>
            <w:lang w:eastAsia="en-GB"/>
          </w:rPr>
          <w:t>Fig. 1</w:t>
        </w:r>
      </w:hyperlink>
      <w:r w:rsidRPr="00883F6B">
        <w:rPr>
          <w:rFonts w:ascii="Times New Roman" w:eastAsia="Times New Roman" w:hAnsi="Times New Roman" w:cs="Times New Roman"/>
          <w:color w:val="000000"/>
          <w:sz w:val="24"/>
          <w:szCs w:val="24"/>
          <w:lang w:eastAsia="en-GB"/>
        </w:rPr>
        <w:t>. This equates to a mean premorbid IQ of 93.6 in people who develop schizophrenia, compared with a population mean of 100 (SD 15). There was however, significant heterogeneity in effect size between studies, (p &lt; 0.001; </w:t>
      </w:r>
      <w:r w:rsidRPr="00883F6B">
        <w:rPr>
          <w:rFonts w:ascii="Times New Roman" w:eastAsia="Times New Roman" w:hAnsi="Times New Roman" w:cs="Times New Roman"/>
          <w:i/>
          <w:iCs/>
          <w:color w:val="000000"/>
          <w:sz w:val="24"/>
          <w:szCs w:val="24"/>
          <w:lang w:eastAsia="en-GB"/>
        </w:rPr>
        <w:t>I</w:t>
      </w:r>
      <w:r w:rsidRPr="00883F6B">
        <w:rPr>
          <w:rFonts w:ascii="Times New Roman" w:eastAsia="Times New Roman" w:hAnsi="Times New Roman" w:cs="Times New Roman"/>
          <w:i/>
          <w:iCs/>
          <w:color w:val="000000"/>
          <w:sz w:val="20"/>
          <w:szCs w:val="20"/>
          <w:vertAlign w:val="superscript"/>
          <w:lang w:eastAsia="en-GB"/>
        </w:rPr>
        <w:t>2</w:t>
      </w:r>
      <w:r w:rsidRPr="00883F6B">
        <w:rPr>
          <w:rFonts w:ascii="Times New Roman" w:eastAsia="Times New Roman" w:hAnsi="Times New Roman" w:cs="Times New Roman"/>
          <w:color w:val="000000"/>
          <w:sz w:val="24"/>
          <w:szCs w:val="24"/>
          <w:lang w:eastAsia="en-GB"/>
        </w:rPr>
        <w:t> = 77%).</w:t>
      </w:r>
    </w:p>
    <w:p w:rsidR="00883F6B" w:rsidRPr="00883F6B" w:rsidRDefault="00883F6B" w:rsidP="00883F6B">
      <w:pPr>
        <w:shd w:val="clear" w:color="auto" w:fill="FFFCF0"/>
        <w:spacing w:after="0" w:line="240" w:lineRule="auto"/>
        <w:jc w:val="center"/>
        <w:rPr>
          <w:rFonts w:ascii="Times New Roman" w:eastAsia="Times New Roman" w:hAnsi="Times New Roman" w:cs="Times New Roman"/>
          <w:color w:val="642A8F"/>
          <w:sz w:val="24"/>
          <w:szCs w:val="24"/>
          <w:bdr w:val="none" w:sz="0" w:space="0" w:color="auto" w:frame="1"/>
          <w:lang w:eastAsia="en-GB"/>
        </w:rPr>
      </w:pPr>
      <w:r w:rsidRPr="00883F6B">
        <w:rPr>
          <w:rFonts w:ascii="Times New Roman" w:eastAsia="Times New Roman" w:hAnsi="Times New Roman" w:cs="Times New Roman"/>
          <w:color w:val="000000"/>
          <w:sz w:val="24"/>
          <w:szCs w:val="24"/>
          <w:lang w:eastAsia="en-GB"/>
        </w:rPr>
        <w:fldChar w:fldCharType="begin"/>
      </w:r>
      <w:r w:rsidRPr="00883F6B">
        <w:rPr>
          <w:rFonts w:ascii="Times New Roman" w:eastAsia="Times New Roman" w:hAnsi="Times New Roman" w:cs="Times New Roman"/>
          <w:color w:val="000000"/>
          <w:sz w:val="24"/>
          <w:szCs w:val="24"/>
          <w:lang w:eastAsia="en-GB"/>
        </w:rPr>
        <w:instrText xml:space="preserve"> HYPERLINK "https://www.ncbi.nlm.nih.gov/core/lw/2.0/html/tileshop_pmc/tileshop_pmc_inline.html?title=Click%20on%20image%20to%20zoom&amp;p=PMC3&amp;id=3485562_gr1.jpg" \t "tileshopwindow" </w:instrText>
      </w:r>
      <w:r w:rsidRPr="00883F6B">
        <w:rPr>
          <w:rFonts w:ascii="Times New Roman" w:eastAsia="Times New Roman" w:hAnsi="Times New Roman" w:cs="Times New Roman"/>
          <w:color w:val="000000"/>
          <w:sz w:val="24"/>
          <w:szCs w:val="24"/>
          <w:lang w:eastAsia="en-GB"/>
        </w:rPr>
        <w:fldChar w:fldCharType="separate"/>
      </w:r>
    </w:p>
    <w:p w:rsidR="00883F6B" w:rsidRPr="00883F6B" w:rsidRDefault="00883F6B" w:rsidP="00883F6B">
      <w:pPr>
        <w:shd w:val="clear" w:color="auto" w:fill="FFFCF0"/>
        <w:spacing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642A8F"/>
          <w:sz w:val="24"/>
          <w:szCs w:val="24"/>
          <w:bdr w:val="none" w:sz="0" w:space="0" w:color="auto" w:frame="1"/>
          <w:lang w:val="en-US"/>
        </w:rPr>
        <mc:AlternateContent>
          <mc:Choice Requires="wps">
            <w:drawing>
              <wp:inline distT="0" distB="0" distL="0" distR="0">
                <wp:extent cx="304800" cy="304800"/>
                <wp:effectExtent l="0" t="0" r="0" b="0"/>
                <wp:docPr id="3" name="Rectangle 3" descr="An external file that holds a picture, illustration, etc.&#10;Object name is gr1.jpg">
                  <a:hlinkClick xmlns:a="http://schemas.openxmlformats.org/drawingml/2006/main" r:id="rId58" tgtFrame="&quot;tileshopwindow&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66B40F" id="Rectangle 3" o:spid="_x0000_s1026" alt="An external file that holds a picture, illustration, etc.&#10;Object name is gr1.jpg" href="https://www.ncbi.nlm.nih.gov/core/lw/2.0/html/tileshop_pmc/tileshop_pmc_inline.html?title=Click on image to zoom&amp;p=PMC3&amp;id=3485562_gr1.jpg" target="&quot;tileshopwindow&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IePwMAAK4GAAAOAAAAZHJzL2Uyb0RvYy54bWysVV1v2zYUfS/Q/0BwQJ8qS3Jkx1KjFK4V&#10;FQGytVjXH0BTlMSGIlmSjpwO+++7pOzESQYMWKcHgV86955zz6Uu3u8Hge6YsVzJEqezBCMmqWq4&#10;7Er89Y86WmFkHZENEUqyEt8zi99fvn51MeqCzVWvRMMMAhBpi1GXuHdOF3Fsac8GYmdKMwmbrTID&#10;cTA1XdwYMgL6IOJ5kizjUZlGG0WZtbBaTZv4MuC3LaPuU9ta5pAoMeTmwtuE99a/48sLUnSG6J7T&#10;QxrkP2QxEC4h6ANURRxBO8NfQA2cGmVV62ZUDbFqW05Z4ABs0uQZmy890SxwAXGsfpDJ/n+w9Le7&#10;zwbxpsRnGEkyQIl+B9GI7ARDsNQwS0GutURs75iRRKCWw5briUO+ehYRpDl1O8PeIi7EzjpDHLjh&#10;LWKOzt78sl+/+7T9BpgBHnGLOpPOvuku6NULLm83gtPbAzsI9u8emHSrFN0NTLrJCIaJENf2XFuM&#10;TOFJmesmhap3rjaB25vvO+XeOWBge6XBR40apzXvhHjUtgiKeP+E4Rf92fi6Wn2j6K1FUm16EIet&#10;rQZK4HhQ7bhkjBp7RhooT3oKN2F4QAtoaDv+qhrQmeycChrsWzP4GMAK7YM17x+sCaojCotnSbZK&#10;wMAUtg5jnzApjh9rY91HpgbkB0Acsgvg5O7Guuno8YiPJVUNxQruF/LJAmBOKxAaPvV7Polg5j/z&#10;JL9aXa2yKJsvr6IsqapoXW+yaFmn54vqrNpsqvQvHzfNip43DZM+zLGx0uxFcf+xHw4tPrXEQ2tZ&#10;JXjj4XxK1nTbjTDojkBj1+EJksPO47H4aRpBL+DyjFI6z5IP8zyql6vzKKuzRZSfJ6soSfMP+TLJ&#10;8qyqn1K64ZL9PCU0ljhfzBehSidJP+OWhOclN1IMHBoSCT6UGKwBjz9ECu/AK9mEsSNcTOMTKXz6&#10;j1JAuY+FDvb3Fp3cv1XNPdjVKLATOA8ueRj0yvzAaIQLs8T2+44YhpG4lmD5PM0yf8OGSbY4n8PE&#10;nO5sT3eIpABVYofRNNw4mMEnO21410OkNAgj1RrapOXBwr6FpqwOvQqXYmByuMD9rXs6D6cefzOX&#10;fwM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DPAYS3&#10;KAEAAMUBAAAZAAAAZHJzL19yZWxzL2Uyb0RvYy54bWwucmVsc4SQTUsDMRCG74L/YQnozWS7taVo&#10;sz1UhR4KIvVcYna6G5vMhCR2W3+9URFcELzMzMvMPPMxXxydLQ4QoiGUbMRLVgBqagy2kj1vHq5m&#10;rIhJYaMsIUh2gsgW9fnZ/AmsSrkpdsbHIlMwStal5G+EiLoDpyInD5gzOwpOpSxDK7zSe9WCqMpy&#10;KsJvBqsHzGLVSBZWzYgVm5PPk/9n025nNNyRfnOA6Y8RosukYA3uM1SFFtI3Nuad+77nqF8MR+s4&#10;mo63dBCaAgjbi4qXokvOimQsxI781js9EFuDmQv8s2qRTLIgl9bo/UVVEmZjXL46+0TZvBO5S+X8&#10;rZeP6+X4KzSNHF/PJpNptW3DiL/69mfHNTX5/PtjgoDKMlHPxeD59QcAAAD//wMAUEsBAi0AFAAG&#10;AAgAAAAhALaDOJL+AAAA4QEAABMAAAAAAAAAAAAAAAAAAAAAAFtDb250ZW50X1R5cGVzXS54bWxQ&#10;SwECLQAUAAYACAAAACEAOP0h/9YAAACUAQAACwAAAAAAAAAAAAAAAAAvAQAAX3JlbHMvLnJlbHNQ&#10;SwECLQAUAAYACAAAACEATaxCHj8DAACuBgAADgAAAAAAAAAAAAAAAAAuAgAAZHJzL2Uyb0RvYy54&#10;bWxQSwECLQAUAAYACAAAACEAhnOS4dYAAAADAQAADwAAAAAAAAAAAAAAAACZBQAAZHJzL2Rvd25y&#10;ZXYueG1sUEsBAi0AFAAGAAgAAAAhAM8BhLcoAQAAxQEAABkAAAAAAAAAAAAAAAAAnAYAAGRycy9f&#10;cmVscy9lMm9Eb2MueG1sLnJlbHNQSwUGAAAAAAUABQA6AQAA+wcAAAAA&#10;" o:button="t" filled="f" stroked="f">
                <v:fill o:detectmouseclick="t"/>
                <o:lock v:ext="edit" aspectratio="t"/>
                <w10:anchorlock/>
              </v:rect>
            </w:pict>
          </mc:Fallback>
        </mc:AlternateContent>
      </w:r>
      <w:r w:rsidRPr="00883F6B">
        <w:rPr>
          <w:rFonts w:ascii="Times New Roman" w:eastAsia="Times New Roman" w:hAnsi="Times New Roman" w:cs="Times New Roman"/>
          <w:color w:val="000000"/>
          <w:sz w:val="24"/>
          <w:szCs w:val="24"/>
          <w:lang w:eastAsia="en-GB"/>
        </w:rPr>
        <w:fldChar w:fldCharType="end"/>
      </w:r>
    </w:p>
    <w:p w:rsidR="00883F6B" w:rsidRPr="00883F6B" w:rsidRDefault="00694C4A" w:rsidP="00883F6B">
      <w:pPr>
        <w:shd w:val="clear" w:color="auto" w:fill="FFFCF0"/>
        <w:spacing w:after="0" w:line="240" w:lineRule="auto"/>
        <w:textAlignment w:val="top"/>
        <w:rPr>
          <w:rFonts w:ascii="Times New Roman" w:eastAsia="Times New Roman" w:hAnsi="Times New Roman" w:cs="Times New Roman"/>
          <w:color w:val="666666"/>
          <w:lang w:eastAsia="en-GB"/>
        </w:rPr>
      </w:pPr>
      <w:hyperlink r:id="rId59" w:tgtFrame="figure" w:history="1">
        <w:r w:rsidR="00883F6B" w:rsidRPr="00883F6B">
          <w:rPr>
            <w:rFonts w:ascii="Times New Roman" w:eastAsia="Times New Roman" w:hAnsi="Times New Roman" w:cs="Times New Roman"/>
            <w:color w:val="642A8F"/>
            <w:u w:val="single"/>
            <w:lang w:eastAsia="en-GB"/>
          </w:rPr>
          <w:t>Fig. 1</w:t>
        </w:r>
      </w:hyperlink>
    </w:p>
    <w:p w:rsidR="00883F6B" w:rsidRPr="00883F6B" w:rsidRDefault="00883F6B" w:rsidP="00883F6B">
      <w:pPr>
        <w:shd w:val="clear" w:color="auto" w:fill="FFFCF0"/>
        <w:spacing w:before="166" w:line="240" w:lineRule="auto"/>
        <w:textAlignment w:val="top"/>
        <w:rPr>
          <w:rFonts w:ascii="Times New Roman" w:eastAsia="Times New Roman" w:hAnsi="Times New Roman" w:cs="Times New Roman"/>
          <w:color w:val="666666"/>
          <w:lang w:eastAsia="en-GB"/>
        </w:rPr>
      </w:pPr>
      <w:r w:rsidRPr="00883F6B">
        <w:rPr>
          <w:rFonts w:ascii="Times New Roman" w:eastAsia="Times New Roman" w:hAnsi="Times New Roman" w:cs="Times New Roman"/>
          <w:color w:val="666666"/>
          <w:lang w:eastAsia="en-GB"/>
        </w:rPr>
        <w:t>Forest plot of premorbid full-scale IQ among a total of 4396 cases and 745 720 controls. Note: Random effect meta-analysis. Size of the squares is proportional to the weight of study. The diamonds indicate pooled SMD from two groups of studies defined by age of IQ testing, as ‘early’—7 to 12 years and ‘late’—16 to 19 years. The vertical line on x-axis at 0.00 indicates the point of no difference in premorbid IQ between schizophrenia cases and controls.</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3.2. Verbal and performance IQ</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Both verbal and performance IQ were significantly lower in individuals who later developed schizophrenia. Ten studies reported valid measures of both premorbid verbal and performance IQ (</w:t>
      </w:r>
      <w:hyperlink r:id="rId60" w:anchor="bb0095" w:history="1">
        <w:r w:rsidRPr="00883F6B">
          <w:rPr>
            <w:rFonts w:ascii="Times New Roman" w:eastAsia="Times New Roman" w:hAnsi="Times New Roman" w:cs="Times New Roman"/>
            <w:color w:val="642A8F"/>
            <w:sz w:val="24"/>
            <w:szCs w:val="24"/>
            <w:u w:val="single"/>
            <w:lang w:eastAsia="en-GB"/>
          </w:rPr>
          <w:t>Jones et al., 1994; Crow et al., 1995; Cannon et al., 2002; Gunnell et al., 2002; Caspi et al., 2003; Niendam et al., 2003; Zammit et al., 2004; Reichenberg et al., 2005; Seidman et al., 2006; Osler et al., 2007</w:t>
        </w:r>
      </w:hyperlink>
      <w:r w:rsidRPr="00883F6B">
        <w:rPr>
          <w:rFonts w:ascii="Times New Roman" w:eastAsia="Times New Roman" w:hAnsi="Times New Roman" w:cs="Times New Roman"/>
          <w:color w:val="000000"/>
          <w:sz w:val="24"/>
          <w:szCs w:val="24"/>
          <w:lang w:eastAsia="en-GB"/>
        </w:rPr>
        <w:t>). Meta-analysis of verbal IQ included 2349 cases and 669 096 controls and showed a SMD of − 0.43 (95% CI − 0.52 to − 0.33), p &lt; 0.0001. Meta-analysis of performance IQ included 2477 cases and 691 965 controls and showed a SMD of − 0.43 (95% CI − 0.55 to − 0.31), p &lt; 0.0001. There was no significant difference between deficits in premorbid verbal and performance IQ (p = 0.46). Heterogeneity of effects among studies of verbal IQ was marginally non-significant (p = 0.08; </w:t>
      </w:r>
      <w:r w:rsidRPr="00883F6B">
        <w:rPr>
          <w:rFonts w:ascii="Times New Roman" w:eastAsia="Times New Roman" w:hAnsi="Times New Roman" w:cs="Times New Roman"/>
          <w:i/>
          <w:iCs/>
          <w:color w:val="000000"/>
          <w:sz w:val="24"/>
          <w:szCs w:val="24"/>
          <w:lang w:eastAsia="en-GB"/>
        </w:rPr>
        <w:t>I</w:t>
      </w:r>
      <w:r w:rsidRPr="00883F6B">
        <w:rPr>
          <w:rFonts w:ascii="Times New Roman" w:eastAsia="Times New Roman" w:hAnsi="Times New Roman" w:cs="Times New Roman"/>
          <w:i/>
          <w:iCs/>
          <w:color w:val="000000"/>
          <w:sz w:val="20"/>
          <w:szCs w:val="20"/>
          <w:vertAlign w:val="superscript"/>
          <w:lang w:eastAsia="en-GB"/>
        </w:rPr>
        <w:t>2</w:t>
      </w:r>
      <w:r w:rsidRPr="00883F6B">
        <w:rPr>
          <w:rFonts w:ascii="Times New Roman" w:eastAsia="Times New Roman" w:hAnsi="Times New Roman" w:cs="Times New Roman"/>
          <w:color w:val="000000"/>
          <w:sz w:val="24"/>
          <w:szCs w:val="24"/>
          <w:lang w:eastAsia="en-GB"/>
        </w:rPr>
        <w:t> = 41%), but significant heterogeneity was observed among studies of performance IQ (p = 0.001; </w:t>
      </w:r>
      <w:r w:rsidRPr="00883F6B">
        <w:rPr>
          <w:rFonts w:ascii="Times New Roman" w:eastAsia="Times New Roman" w:hAnsi="Times New Roman" w:cs="Times New Roman"/>
          <w:i/>
          <w:iCs/>
          <w:color w:val="000000"/>
          <w:sz w:val="24"/>
          <w:szCs w:val="24"/>
          <w:lang w:eastAsia="en-GB"/>
        </w:rPr>
        <w:t>I</w:t>
      </w:r>
      <w:r w:rsidRPr="00883F6B">
        <w:rPr>
          <w:rFonts w:ascii="Times New Roman" w:eastAsia="Times New Roman" w:hAnsi="Times New Roman" w:cs="Times New Roman"/>
          <w:i/>
          <w:iCs/>
          <w:color w:val="000000"/>
          <w:sz w:val="20"/>
          <w:szCs w:val="20"/>
          <w:vertAlign w:val="superscript"/>
          <w:lang w:eastAsia="en-GB"/>
        </w:rPr>
        <w:t>2</w:t>
      </w:r>
      <w:r w:rsidRPr="00883F6B">
        <w:rPr>
          <w:rFonts w:ascii="Times New Roman" w:eastAsia="Times New Roman" w:hAnsi="Times New Roman" w:cs="Times New Roman"/>
          <w:color w:val="000000"/>
          <w:sz w:val="24"/>
          <w:szCs w:val="24"/>
          <w:lang w:eastAsia="en-GB"/>
        </w:rPr>
        <w:t> = 65%).</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3.3. Dose response relationship between IQ and risk of schizophrenia</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Data from five cohorts were available for this analysis (</w:t>
      </w:r>
      <w:hyperlink r:id="rId61" w:anchor="bb0095" w:history="1">
        <w:r w:rsidRPr="00883F6B">
          <w:rPr>
            <w:rFonts w:ascii="Times New Roman" w:eastAsia="Times New Roman" w:hAnsi="Times New Roman" w:cs="Times New Roman"/>
            <w:color w:val="642A8F"/>
            <w:sz w:val="24"/>
            <w:szCs w:val="24"/>
            <w:u w:val="single"/>
            <w:lang w:eastAsia="en-GB"/>
          </w:rPr>
          <w:t>Jones et al., 1994; Gunnell et al., 2002; Zammit et al., 2004; Reichenberg et al., 2005; Tiihonen et al., 2005</w:t>
        </w:r>
      </w:hyperlink>
      <w:r w:rsidRPr="00883F6B">
        <w:rPr>
          <w:rFonts w:ascii="Times New Roman" w:eastAsia="Times New Roman" w:hAnsi="Times New Roman" w:cs="Times New Roman"/>
          <w:color w:val="000000"/>
          <w:sz w:val="24"/>
          <w:szCs w:val="24"/>
          <w:lang w:eastAsia="en-GB"/>
        </w:rPr>
        <w:t>). Compared with the group with IQ between the population mean and one SD above the mean (i.e. IQ 100 to 115), the risk of developing schizophrenia was more than doubled among individuals with IQ between 70 and 85 (Odds ratio (OR) 2.36, 95% CI 1.59 to 3.49), while risk was nearly five-fold for those with IQ below 70 (OR 4.78, 95% CI 3.19 to 7.13); see </w:t>
      </w:r>
      <w:hyperlink r:id="rId62" w:tgtFrame="figure" w:history="1">
        <w:r w:rsidRPr="00883F6B">
          <w:rPr>
            <w:rFonts w:ascii="Times New Roman" w:eastAsia="Times New Roman" w:hAnsi="Times New Roman" w:cs="Times New Roman"/>
            <w:color w:val="642A8F"/>
            <w:sz w:val="24"/>
            <w:szCs w:val="24"/>
            <w:u w:val="single"/>
            <w:lang w:eastAsia="en-GB"/>
          </w:rPr>
          <w:t>Fig. 2</w:t>
        </w:r>
      </w:hyperlink>
      <w:r w:rsidRPr="00883F6B">
        <w:rPr>
          <w:rFonts w:ascii="Times New Roman" w:eastAsia="Times New Roman" w:hAnsi="Times New Roman" w:cs="Times New Roman"/>
          <w:color w:val="000000"/>
          <w:sz w:val="24"/>
          <w:szCs w:val="24"/>
          <w:lang w:eastAsia="en-GB"/>
        </w:rPr>
        <w:t>. High premorbid intelligence reduced the risk of schizophrenia; OR for those with IQ between 115 and 130 was 0.55 (95% CI 0.38 to 0.81), and those with IQ over 130 was 0.61 (95% CI 0.29 to 1.29).</w:t>
      </w:r>
    </w:p>
    <w:p w:rsidR="00883F6B" w:rsidRPr="00883F6B" w:rsidRDefault="00883F6B" w:rsidP="00883F6B">
      <w:pPr>
        <w:shd w:val="clear" w:color="auto" w:fill="FFFCF0"/>
        <w:spacing w:after="0" w:line="240" w:lineRule="auto"/>
        <w:jc w:val="center"/>
        <w:rPr>
          <w:rFonts w:ascii="Times New Roman" w:eastAsia="Times New Roman" w:hAnsi="Times New Roman" w:cs="Times New Roman"/>
          <w:color w:val="642A8F"/>
          <w:sz w:val="24"/>
          <w:szCs w:val="24"/>
          <w:bdr w:val="none" w:sz="0" w:space="0" w:color="auto" w:frame="1"/>
          <w:lang w:eastAsia="en-GB"/>
        </w:rPr>
      </w:pPr>
      <w:r w:rsidRPr="00883F6B">
        <w:rPr>
          <w:rFonts w:ascii="Times New Roman" w:eastAsia="Times New Roman" w:hAnsi="Times New Roman" w:cs="Times New Roman"/>
          <w:color w:val="000000"/>
          <w:sz w:val="24"/>
          <w:szCs w:val="24"/>
          <w:lang w:eastAsia="en-GB"/>
        </w:rPr>
        <w:fldChar w:fldCharType="begin"/>
      </w:r>
      <w:r w:rsidRPr="00883F6B">
        <w:rPr>
          <w:rFonts w:ascii="Times New Roman" w:eastAsia="Times New Roman" w:hAnsi="Times New Roman" w:cs="Times New Roman"/>
          <w:color w:val="000000"/>
          <w:sz w:val="24"/>
          <w:szCs w:val="24"/>
          <w:lang w:eastAsia="en-GB"/>
        </w:rPr>
        <w:instrText xml:space="preserve"> HYPERLINK "https://www.ncbi.nlm.nih.gov/core/lw/2.0/html/tileshop_pmc/tileshop_pmc_inline.html?title=Click%20on%20image%20to%20zoom&amp;p=PMC3&amp;id=3485562_gr2.jpg" \t "tileshopwindow" </w:instrText>
      </w:r>
      <w:r w:rsidRPr="00883F6B">
        <w:rPr>
          <w:rFonts w:ascii="Times New Roman" w:eastAsia="Times New Roman" w:hAnsi="Times New Roman" w:cs="Times New Roman"/>
          <w:color w:val="000000"/>
          <w:sz w:val="24"/>
          <w:szCs w:val="24"/>
          <w:lang w:eastAsia="en-GB"/>
        </w:rPr>
        <w:fldChar w:fldCharType="separate"/>
      </w:r>
    </w:p>
    <w:p w:rsidR="00883F6B" w:rsidRPr="00883F6B" w:rsidRDefault="00883F6B" w:rsidP="00883F6B">
      <w:pPr>
        <w:shd w:val="clear" w:color="auto" w:fill="FFFCF0"/>
        <w:spacing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642A8F"/>
          <w:sz w:val="24"/>
          <w:szCs w:val="24"/>
          <w:bdr w:val="none" w:sz="0" w:space="0" w:color="auto" w:frame="1"/>
          <w:lang w:val="en-US"/>
        </w:rPr>
        <w:lastRenderedPageBreak/>
        <mc:AlternateContent>
          <mc:Choice Requires="wps">
            <w:drawing>
              <wp:inline distT="0" distB="0" distL="0" distR="0">
                <wp:extent cx="304800" cy="304800"/>
                <wp:effectExtent l="0" t="0" r="0" b="0"/>
                <wp:docPr id="2" name="Rectangle 2" descr="An external file that holds a picture, illustration, etc.&#10;Object name is gr2.jpg">
                  <a:hlinkClick xmlns:a="http://schemas.openxmlformats.org/drawingml/2006/main" r:id="rId63" tgtFrame="&quot;tileshopwindow&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8254E2" id="Rectangle 2" o:spid="_x0000_s1026" alt="An external file that holds a picture, illustration, etc.&#10;Object name is gr2.jpg" href="https://www.ncbi.nlm.nih.gov/core/lw/2.0/html/tileshop_pmc/tileshop_pmc_inline.html?title=Click on image to zoom&amp;p=PMC3&amp;id=3485562_gr2.jpg" target="&quot;tileshopwindow&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IZPwMAAK4GAAAOAAAAZHJzL2Uyb0RvYy54bWysVV1v2zYUfR+w/0BwQJ8q66OyY6lRCteK&#10;hgLpWqzbD6ApSmJDkSxJR86G/fdeUnbiJAMGbNODwC+de8+551KX7w6jQHfMWK5khdNFghGTVLVc&#10;9hX+/bcmWmNkHZEtEUqyCt8zi99d/fjD5aRLlqlBiZYZBCDSlpOu8OCcLuPY0oGNxC6UZhI2O2VG&#10;4mBq+rg1ZAL0UcRZkqziSZlWG0WZtbBaz5v4KuB3HaPuU9dZ5pCoMOTmwtuE986/46tLUvaG6IHT&#10;YxrkX2QxEi4h6ANUTRxBe8NfQI2cGmVV5xZUjbHqOk5Z4ABs0uQZmy8D0SxwAXGsfpDJ/n+w9Je7&#10;zwbxtsIZRpKMUKJfQTQie8EQLLXMUpBrIxE7OGYkEajjsOUG4pCvnkUEaU7d3rDXiAuxt84QB254&#10;jZiji1c/HTZvP+2+AmaAR9yi3mSLr7oPeg2Cy9ut4PT2yA6C/bMHZt1qRfcjk242gmEixLUD1xYj&#10;U3pS5kObQtV715jA7dW3vXJvHTCwg9Lgo1ZN85p3QjxpWwZFvH/C8Iv+bHxdrb5R9NYiqbYDiMM2&#10;VgMlcDyodloyRk0DIy2UJz2HmzE8oAU0tJs+qhZ0JnunggaHzow+BrBCh2DN+wdrguqIwuKbJF8n&#10;YGAKW8exT5iUp4+1se5npkbkB0Acsgvg5O7Guvno6YiPJVUDxQruF/LJAmDOKxAaPvV7Polg5j+L&#10;pLheX6/zKM9W11Ge1HW0abZ5tGrSi2X9pt5u6/QvHzfNy4G3LZM+zKmx0vxFcf+2H44tPrfEQ2tZ&#10;JXjr4XxK1vS7rTDojkBjN+EJksPO47H4aRpBL+DyjFKa5cn7rIia1foiypt8GRUXyTpK0uJ9sUry&#10;Iq+bp5RuuGT/nRKaKlwss2Wo0lnSz7gl4XnJjZQjh4ZEgo8VBmvA4w+R0jvwWrZh7AgX8/hMCp/+&#10;oxRQ7lOhg/29RWf371R7D3Y1CuwEzoNLHgaDMn9gNMGFWWH7bU8Mw0h8kGD5Is1zf8OGSb68yGBi&#10;znd25ztEUoCqsMNoHm4dzOCTvTa8HyBSGoSRagNt0vFgYd9Cc1bHXoVLMTA5XuD+1j2fh1OPv5mr&#10;7wAAAP//AwBQSwMEFAAGAAgAAAAhAIZzkuHWAAAAAwEAAA8AAABkcnMvZG93bnJldi54bWxMj0Fr&#10;wkAQhe8F/8MyQm91oxQJaTYigkh6KMT6A8bsNAlmZ0N21fTfd9oe2ssMjze8+V6+mVyvbjSGzrOB&#10;5SIBRVx723Fj4PS+f0pBhYhssfdMBj4pwKaYPeSYWX/nim7H2CgJ4ZChgTbGIdM61C05DAs/EIv3&#10;4UeHUeTYaDviXcJdr1dJstYOO5YPLQ60a6m+HK/OwCol+1Z20R/KS1mt2fHrqToY8zifti+gIk3x&#10;7xi+8QUdCmE6+yvboHoDUiT+TPGeU1Hn362LXP9nL74AAAD//wMAUEsDBBQABgAIAAAAIQB6rd43&#10;JwEAAMUBAAAZAAAAZHJzL19yZWxzL2Uyb0RvYy54bWwucmVsc4SQTUsDMRCG74L/YQnozWS7taVo&#10;sz1UhR4KIvVcYna6G5vMhCR2W3+9URFcELzMzMvMPPMxXxydLQ4QoiGUbMRLVgBqagy2kj1vHq5m&#10;rIhJYaMsIUh2gsgW9fnZ/AmsSrkpdsbHIlMwStal5G+EiLoDpyInD5gzOwpOpSxDK7zSe9WCqMpy&#10;KsJvBqsHzGLVSBZWzYgVm5PPk/9n025nNNyRfnOA6Y8RosukYA3uM1SFFtI3Nuad+77nqF8MR+s4&#10;mo63dBCaAgjbi4qXokvOimQsxI781js9EFuDmQv8s2qRTLIgl9bo/UVVEmZjXL46+0TZvBO5S+X8&#10;rZeP6+X4KzSNHF/PJpNptW1DxV99+7Pjmpp8/v0xQUBlmajnYvD8+gMAAP//AwBQSwECLQAUAAYA&#10;CAAAACEAtoM4kv4AAADhAQAAEwAAAAAAAAAAAAAAAAAAAAAAW0NvbnRlbnRfVHlwZXNdLnhtbFBL&#10;AQItABQABgAIAAAAIQA4/SH/1gAAAJQBAAALAAAAAAAAAAAAAAAAAC8BAABfcmVscy8ucmVsc1BL&#10;AQItABQABgAIAAAAIQCw+VIZPwMAAK4GAAAOAAAAAAAAAAAAAAAAAC4CAABkcnMvZTJvRG9jLnht&#10;bFBLAQItABQABgAIAAAAIQCGc5Lh1gAAAAMBAAAPAAAAAAAAAAAAAAAAAJkFAABkcnMvZG93bnJl&#10;di54bWxQSwECLQAUAAYACAAAACEAeq3eNycBAADFAQAAGQAAAAAAAAAAAAAAAACcBgAAZHJzL19y&#10;ZWxzL2Uyb0RvYy54bWwucmVsc1BLBQYAAAAABQAFADoBAAD6BwAAAAA=&#10;" o:button="t" filled="f" stroked="f">
                <v:fill o:detectmouseclick="t"/>
                <o:lock v:ext="edit" aspectratio="t"/>
                <w10:anchorlock/>
              </v:rect>
            </w:pict>
          </mc:Fallback>
        </mc:AlternateContent>
      </w:r>
      <w:r w:rsidRPr="00883F6B">
        <w:rPr>
          <w:rFonts w:ascii="Times New Roman" w:eastAsia="Times New Roman" w:hAnsi="Times New Roman" w:cs="Times New Roman"/>
          <w:color w:val="000000"/>
          <w:sz w:val="24"/>
          <w:szCs w:val="24"/>
          <w:lang w:eastAsia="en-GB"/>
        </w:rPr>
        <w:fldChar w:fldCharType="end"/>
      </w:r>
    </w:p>
    <w:p w:rsidR="00883F6B" w:rsidRPr="00883F6B" w:rsidRDefault="00694C4A" w:rsidP="00883F6B">
      <w:pPr>
        <w:shd w:val="clear" w:color="auto" w:fill="FFFCF0"/>
        <w:spacing w:after="0" w:line="240" w:lineRule="auto"/>
        <w:textAlignment w:val="top"/>
        <w:rPr>
          <w:rFonts w:ascii="Times New Roman" w:eastAsia="Times New Roman" w:hAnsi="Times New Roman" w:cs="Times New Roman"/>
          <w:color w:val="666666"/>
          <w:lang w:eastAsia="en-GB"/>
        </w:rPr>
      </w:pPr>
      <w:hyperlink r:id="rId64" w:tgtFrame="figure" w:history="1">
        <w:r w:rsidR="00883F6B" w:rsidRPr="00883F6B">
          <w:rPr>
            <w:rFonts w:ascii="Times New Roman" w:eastAsia="Times New Roman" w:hAnsi="Times New Roman" w:cs="Times New Roman"/>
            <w:color w:val="642A8F"/>
            <w:u w:val="single"/>
            <w:lang w:eastAsia="en-GB"/>
          </w:rPr>
          <w:t>Fig. 2</w:t>
        </w:r>
      </w:hyperlink>
    </w:p>
    <w:p w:rsidR="00883F6B" w:rsidRPr="00883F6B" w:rsidRDefault="00883F6B" w:rsidP="00883F6B">
      <w:pPr>
        <w:shd w:val="clear" w:color="auto" w:fill="FFFCF0"/>
        <w:spacing w:before="166" w:line="240" w:lineRule="auto"/>
        <w:textAlignment w:val="top"/>
        <w:rPr>
          <w:rFonts w:ascii="Times New Roman" w:eastAsia="Times New Roman" w:hAnsi="Times New Roman" w:cs="Times New Roman"/>
          <w:color w:val="666666"/>
          <w:lang w:eastAsia="en-GB"/>
        </w:rPr>
      </w:pPr>
      <w:r w:rsidRPr="00883F6B">
        <w:rPr>
          <w:rFonts w:ascii="Times New Roman" w:eastAsia="Times New Roman" w:hAnsi="Times New Roman" w:cs="Times New Roman"/>
          <w:color w:val="666666"/>
          <w:lang w:eastAsia="en-GB"/>
        </w:rPr>
        <w:t>Odds ratio for risk of schizophrenia across six IQ categories. Note: Estimated mean IQ refers to mean IQ of each category calculated according to proportion of people in the category. IQ category 0–1SD is used as reference.</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Logistic regression of five studies assuming a common slope showed a 3.7% increase in risk of schizophrenia with each one-point decrease in IQ (95% CI 3.4% to 3.9%, p &lt; 0.0001). Examination of whether a non-linear relationship between IQ score and schizophrenia provided a better fit for the data was made by inclusion of a quadratic term in the logistic regression model. Quadratic effects were significantly heterogeneous between studies (p = 0.002). Although the overall quadratic effect was not significant, study-specific quadratic effects for two studies were significantly positive, indicating a weaker relationship between IQ and schizophrenia at higher IQs (quadratic coefficient 0.001, p &lt; 0.001) (</w:t>
      </w:r>
      <w:hyperlink r:id="rId65" w:anchor="bb0075" w:history="1">
        <w:r w:rsidRPr="00883F6B">
          <w:rPr>
            <w:rFonts w:ascii="Times New Roman" w:eastAsia="Times New Roman" w:hAnsi="Times New Roman" w:cs="Times New Roman"/>
            <w:color w:val="642A8F"/>
            <w:sz w:val="24"/>
            <w:szCs w:val="24"/>
            <w:u w:val="single"/>
            <w:lang w:eastAsia="en-GB"/>
          </w:rPr>
          <w:t>Gunnell et al., 2002</w:t>
        </w:r>
      </w:hyperlink>
      <w:r w:rsidRPr="00883F6B">
        <w:rPr>
          <w:rFonts w:ascii="Times New Roman" w:eastAsia="Times New Roman" w:hAnsi="Times New Roman" w:cs="Times New Roman"/>
          <w:color w:val="000000"/>
          <w:sz w:val="24"/>
          <w:szCs w:val="24"/>
          <w:lang w:eastAsia="en-GB"/>
        </w:rPr>
        <w:t>); (quadratic coefficient 0.0001, p = 0.04) (</w:t>
      </w:r>
      <w:hyperlink r:id="rId66" w:anchor="bb0160" w:history="1">
        <w:r w:rsidRPr="00883F6B">
          <w:rPr>
            <w:rFonts w:ascii="Times New Roman" w:eastAsia="Times New Roman" w:hAnsi="Times New Roman" w:cs="Times New Roman"/>
            <w:color w:val="642A8F"/>
            <w:sz w:val="24"/>
            <w:szCs w:val="24"/>
            <w:u w:val="single"/>
            <w:lang w:eastAsia="en-GB"/>
          </w:rPr>
          <w:t>Reichenberg et al., 2005</w:t>
        </w:r>
      </w:hyperlink>
      <w:r w:rsidRPr="00883F6B">
        <w:rPr>
          <w:rFonts w:ascii="Times New Roman" w:eastAsia="Times New Roman" w:hAnsi="Times New Roman" w:cs="Times New Roman"/>
          <w:color w:val="000000"/>
          <w:sz w:val="24"/>
          <w:szCs w:val="24"/>
          <w:lang w:eastAsia="en-GB"/>
        </w:rPr>
        <w:t>); while one study suggested a possibly stronger relationship between IQ and schizophrenia at higher IQs (quadratic coefficient − 0.0002, p = 0.06) (</w:t>
      </w:r>
      <w:hyperlink r:id="rId67" w:anchor="bb0185" w:history="1">
        <w:r w:rsidRPr="00883F6B">
          <w:rPr>
            <w:rFonts w:ascii="Times New Roman" w:eastAsia="Times New Roman" w:hAnsi="Times New Roman" w:cs="Times New Roman"/>
            <w:color w:val="642A8F"/>
            <w:sz w:val="24"/>
            <w:szCs w:val="24"/>
            <w:u w:val="single"/>
            <w:lang w:eastAsia="en-GB"/>
          </w:rPr>
          <w:t>Tiihonen et al., 2005</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3.4. Age of onset of schizophrenia</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Both full-scale IQ and age of illness onset were available from 8 studies (</w:t>
      </w:r>
      <w:hyperlink r:id="rId68" w:anchor="bb0095" w:history="1">
        <w:r w:rsidRPr="00883F6B">
          <w:rPr>
            <w:rFonts w:ascii="Times New Roman" w:eastAsia="Times New Roman" w:hAnsi="Times New Roman" w:cs="Times New Roman"/>
            <w:color w:val="642A8F"/>
            <w:sz w:val="24"/>
            <w:szCs w:val="24"/>
            <w:u w:val="single"/>
            <w:lang w:eastAsia="en-GB"/>
          </w:rPr>
          <w:t>Jones et al., 1994; Gunnell et al., 2002; Walker et al., 2002; Caspi et al., 2003; Zammit et al., 2004; Reichenberg et al., 2005; Osler et al., 2007; Urfer-Parnas et al., 2010</w:t>
        </w:r>
      </w:hyperlink>
      <w:r w:rsidRPr="00883F6B">
        <w:rPr>
          <w:rFonts w:ascii="Times New Roman" w:eastAsia="Times New Roman" w:hAnsi="Times New Roman" w:cs="Times New Roman"/>
          <w:color w:val="000000"/>
          <w:sz w:val="24"/>
          <w:szCs w:val="24"/>
          <w:lang w:eastAsia="en-GB"/>
        </w:rPr>
        <w:t>). Meta-regression showed strong evidence for greater case–control difference in samples with an earlier mean age of onset (slope = 0.03, SE 0.004, z = 5.92, p &lt; 0.0001; see </w:t>
      </w:r>
      <w:hyperlink r:id="rId69" w:tgtFrame="figure" w:history="1">
        <w:r w:rsidRPr="00883F6B">
          <w:rPr>
            <w:rFonts w:ascii="Times New Roman" w:eastAsia="Times New Roman" w:hAnsi="Times New Roman" w:cs="Times New Roman"/>
            <w:color w:val="642A8F"/>
            <w:sz w:val="24"/>
            <w:szCs w:val="24"/>
            <w:u w:val="single"/>
            <w:lang w:eastAsia="en-GB"/>
          </w:rPr>
          <w:t>Fig. 3</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CF0"/>
        <w:spacing w:after="0" w:line="240" w:lineRule="auto"/>
        <w:jc w:val="center"/>
        <w:rPr>
          <w:rFonts w:ascii="Times New Roman" w:eastAsia="Times New Roman" w:hAnsi="Times New Roman" w:cs="Times New Roman"/>
          <w:color w:val="642A8F"/>
          <w:sz w:val="24"/>
          <w:szCs w:val="24"/>
          <w:bdr w:val="none" w:sz="0" w:space="0" w:color="auto" w:frame="1"/>
          <w:lang w:eastAsia="en-GB"/>
        </w:rPr>
      </w:pPr>
      <w:r w:rsidRPr="00883F6B">
        <w:rPr>
          <w:rFonts w:ascii="Times New Roman" w:eastAsia="Times New Roman" w:hAnsi="Times New Roman" w:cs="Times New Roman"/>
          <w:color w:val="000000"/>
          <w:sz w:val="24"/>
          <w:szCs w:val="24"/>
          <w:lang w:eastAsia="en-GB"/>
        </w:rPr>
        <w:fldChar w:fldCharType="begin"/>
      </w:r>
      <w:r w:rsidRPr="00883F6B">
        <w:rPr>
          <w:rFonts w:ascii="Times New Roman" w:eastAsia="Times New Roman" w:hAnsi="Times New Roman" w:cs="Times New Roman"/>
          <w:color w:val="000000"/>
          <w:sz w:val="24"/>
          <w:szCs w:val="24"/>
          <w:lang w:eastAsia="en-GB"/>
        </w:rPr>
        <w:instrText xml:space="preserve"> HYPERLINK "https://www.ncbi.nlm.nih.gov/core/lw/2.0/html/tileshop_pmc/tileshop_pmc_inline.html?title=Click%20on%20image%20to%20zoom&amp;p=PMC3&amp;id=3485562_gr3.jpg" \t "tileshopwindow" </w:instrText>
      </w:r>
      <w:r w:rsidRPr="00883F6B">
        <w:rPr>
          <w:rFonts w:ascii="Times New Roman" w:eastAsia="Times New Roman" w:hAnsi="Times New Roman" w:cs="Times New Roman"/>
          <w:color w:val="000000"/>
          <w:sz w:val="24"/>
          <w:szCs w:val="24"/>
          <w:lang w:eastAsia="en-GB"/>
        </w:rPr>
        <w:fldChar w:fldCharType="separate"/>
      </w:r>
    </w:p>
    <w:p w:rsidR="00883F6B" w:rsidRPr="00883F6B" w:rsidRDefault="00883F6B" w:rsidP="00883F6B">
      <w:pPr>
        <w:shd w:val="clear" w:color="auto" w:fill="FFFCF0"/>
        <w:spacing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noProof/>
          <w:color w:val="642A8F"/>
          <w:sz w:val="24"/>
          <w:szCs w:val="24"/>
          <w:bdr w:val="none" w:sz="0" w:space="0" w:color="auto" w:frame="1"/>
          <w:lang w:val="en-US"/>
        </w:rPr>
        <mc:AlternateContent>
          <mc:Choice Requires="wps">
            <w:drawing>
              <wp:inline distT="0" distB="0" distL="0" distR="0">
                <wp:extent cx="304800" cy="304800"/>
                <wp:effectExtent l="0" t="0" r="0" b="0"/>
                <wp:docPr id="1" name="Rectangle 1" descr="An external file that holds a picture, illustration, etc.&#10;Object name is gr3.jpg">
                  <a:hlinkClick xmlns:a="http://schemas.openxmlformats.org/drawingml/2006/main" r:id="rId70" tgtFrame="&quot;tileshopwindow&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8B0444" id="Rectangle 1" o:spid="_x0000_s1026" alt="An external file that holds a picture, illustration, etc.&#10;Object name is gr3.jpg" href="https://www.ncbi.nlm.nih.gov/core/lw/2.0/html/tileshop_pmc/tileshop_pmc_inline.html?title=Click on image to zoom&amp;p=PMC3&amp;id=3485562_gr3.jpg" target="&quot;tileshopwindow&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TFyPQMAAK4GAAAOAAAAZHJzL2Uyb0RvYy54bWysVV1v2zYUfS/Q/0BwQJ8qS3Jkx1KjFK4V&#10;FQGytVjXH0BTlMSGIlmSjpwO+++7pOzESQYMWKcHgV86955zz6Uu3u8Hge6YsVzJEqezBCMmqWq4&#10;7Er89Y86WmFkHZENEUqyEt8zi99fvn51MeqCzVWvRMMMAhBpi1GXuHdOF3Fsac8GYmdKMwmbrTID&#10;cTA1XdwYMgL6IOJ5kizjUZlGG0WZtbBaTZv4MuC3LaPuU9ta5pAoMeTmwtuE99a/48sLUnSG6J7T&#10;QxrkP2QxEC4h6ANURRxBO8NfQA2cGmVV62ZUDbFqW05Z4ABs0uQZmy890SxwAXGsfpDJ/n+w9Le7&#10;zwbxBmqHkSQDlOh3EI3ITjAESw2zFORaS8T2jhlJBGo5bLmeOOSrZxFBmlO3M+wt4kLsrDPEgRve&#10;Iubo7M0v+/W7T9tvgBngEbeoM2ezb7oLevWCy9uN4PT2wA6C/bsHJt0qRXcDk24ygmEixLU91xYj&#10;U3hS5roBEq5ztQnc3nzfKffOAQPbKw0+atQ4rXknxKO2RVDE+ycMv+jPxtfV6htFby2SatODOGxt&#10;NVCaVDsuGaPGnpEGypOewk0YHtACGtqOv6oGdCY7p4IG+9YMPgawQvtgzfsHa4LqiMLiWZKtEjAw&#10;ha3D2CdMiuPH2lj3kakB+QEQh+wCOLm7sW46ejziY0lVQ7GC+4V8sgCY0wqEhk/9nk8imPnPPMmv&#10;VlerLMrmy6soS6oqWtebLFrW6fmiOqs2myr9y8dNs6LnTcOkD3NsrDR7Udx/7IdDi08t8dBaVgne&#10;eDifkjXddiMMuiPQ2HV4guSw83gsfppG0Au4PKOUzrPkwzyP6uXqPMrqbBHl58kqStL8Q75Msjyr&#10;6qeUbrhkP08JjSXOF/NFqNJJ0s+4JeF5yY0UA4eGRIIPJQZrwOMPkcI78Eo2YewIF9P4RAqf/qMU&#10;UO5joYP9vUUn929Vcw92NQrsBM6DSx4GvTI/MBrhwiyx/b4jhmEkriVYPk+zzN+wYZItzucwMac7&#10;29MdIilAldhhNA03DmbwyU4b3vUQKQ3CSLWGNml5sLBvoSmrQ6/CpRiYHC5wf+uezsOpx9/M5d8A&#10;AAD//wMAUEsDBBQABgAIAAAAIQCGc5Lh1gAAAAMBAAAPAAAAZHJzL2Rvd25yZXYueG1sTI9Ba8JA&#10;EIXvBf/DMkJvdaMUCWk2IoJIeijE+gPG7DQJZmdDdtX033faHtrLDI83vPlevplcr240hs6zgeUi&#10;AUVce9txY+D0vn9KQYWIbLH3TAY+KcCmmD3kmFl/54pux9goCeGQoYE2xiHTOtQtOQwLPxCL9+FH&#10;h1Hk2Gg74l3CXa9XSbLWDjuWDy0OtGupvhyvzsAqJftWdtEfyktZrdnx66k6GPM4n7YvoCJN8e8Y&#10;vvEFHQphOvsr26B6A1Ik/kzxnlNR59+ti1z/Zy++AAAA//8DAFBLAwQUAAYACAAAACEA6TYXSCgB&#10;AADFAQAAGQAAAGRycy9fcmVscy9lMm9Eb2MueG1sLnJlbHOEkE1LAzEQhu+C/2EJ6M1ku7WlaLM9&#10;VIUeCiL1XGJ2uhubzIQkdlt/vVERXBC8zMzLzDzzMV8cnS0OEKIhlGzES1YAamoMtpI9bx6uZqyI&#10;SWGjLCFIdoLIFvX52fwJrEq5KXbGxyJTMErWpeRvhIi6A6ciJw+YMzsKTqUsQyu80nvVgqjKcirC&#10;bwarB8xi1UgWVs2IFZuTz5P/Z9NuZzTckX5zgOmPEaLLpGAN7jNUhRbSNzbmnfu+56hfDEfrOJqO&#10;t3QQmgII24uKl6JLzopkLMSO/NY7PRBbg5kL/LNqkUyyIJfW6P1FVRJmY1y+OvtE2bwTuUvl/K2X&#10;j+vl+Cs0jRxfzyaTabVtw5i/+vZnxzU1+fz7Y4KAyjJRz8Xg+fUHAAAA//8DAFBLAQItABQABgAI&#10;AAAAIQC2gziS/gAAAOEBAAATAAAAAAAAAAAAAAAAAAAAAABbQ29udGVudF9UeXBlc10ueG1sUEsB&#10;Ai0AFAAGAAgAAAAhADj9If/WAAAAlAEAAAsAAAAAAAAAAAAAAAAALwEAAF9yZWxzLy5yZWxzUEsB&#10;Ai0AFAAGAAgAAAAhANyZMXI9AwAArgYAAA4AAAAAAAAAAAAAAAAALgIAAGRycy9lMm9Eb2MueG1s&#10;UEsBAi0AFAAGAAgAAAAhAIZzkuHWAAAAAwEAAA8AAAAAAAAAAAAAAAAAlwUAAGRycy9kb3ducmV2&#10;LnhtbFBLAQItABQABgAIAAAAIQDpNhdIKAEAAMUBAAAZAAAAAAAAAAAAAAAAAJoGAABkcnMvX3Jl&#10;bHMvZTJvRG9jLnhtbC5yZWxzUEsFBgAAAAAFAAUAOgEAAPkHAAAAAA==&#10;" o:button="t" filled="f" stroked="f">
                <v:fill o:detectmouseclick="t"/>
                <o:lock v:ext="edit" aspectratio="t"/>
                <w10:anchorlock/>
              </v:rect>
            </w:pict>
          </mc:Fallback>
        </mc:AlternateContent>
      </w:r>
      <w:r w:rsidRPr="00883F6B">
        <w:rPr>
          <w:rFonts w:ascii="Times New Roman" w:eastAsia="Times New Roman" w:hAnsi="Times New Roman" w:cs="Times New Roman"/>
          <w:color w:val="000000"/>
          <w:sz w:val="24"/>
          <w:szCs w:val="24"/>
          <w:lang w:eastAsia="en-GB"/>
        </w:rPr>
        <w:fldChar w:fldCharType="end"/>
      </w:r>
    </w:p>
    <w:p w:rsidR="00883F6B" w:rsidRPr="00883F6B" w:rsidRDefault="00694C4A" w:rsidP="00883F6B">
      <w:pPr>
        <w:shd w:val="clear" w:color="auto" w:fill="FFFCF0"/>
        <w:spacing w:after="0" w:line="240" w:lineRule="auto"/>
        <w:textAlignment w:val="top"/>
        <w:rPr>
          <w:rFonts w:ascii="Times New Roman" w:eastAsia="Times New Roman" w:hAnsi="Times New Roman" w:cs="Times New Roman"/>
          <w:color w:val="666666"/>
          <w:lang w:eastAsia="en-GB"/>
        </w:rPr>
      </w:pPr>
      <w:hyperlink r:id="rId71" w:tgtFrame="figure" w:history="1">
        <w:r w:rsidR="00883F6B" w:rsidRPr="00883F6B">
          <w:rPr>
            <w:rFonts w:ascii="Times New Roman" w:eastAsia="Times New Roman" w:hAnsi="Times New Roman" w:cs="Times New Roman"/>
            <w:color w:val="642A8F"/>
            <w:u w:val="single"/>
            <w:lang w:eastAsia="en-GB"/>
          </w:rPr>
          <w:t>Fig. 3</w:t>
        </w:r>
      </w:hyperlink>
    </w:p>
    <w:p w:rsidR="00883F6B" w:rsidRPr="00883F6B" w:rsidRDefault="00883F6B" w:rsidP="00883F6B">
      <w:pPr>
        <w:shd w:val="clear" w:color="auto" w:fill="FFFCF0"/>
        <w:spacing w:before="166" w:line="240" w:lineRule="auto"/>
        <w:textAlignment w:val="top"/>
        <w:rPr>
          <w:rFonts w:ascii="Times New Roman" w:eastAsia="Times New Roman" w:hAnsi="Times New Roman" w:cs="Times New Roman"/>
          <w:color w:val="666666"/>
          <w:lang w:eastAsia="en-GB"/>
        </w:rPr>
      </w:pPr>
      <w:r w:rsidRPr="00883F6B">
        <w:rPr>
          <w:rFonts w:ascii="Times New Roman" w:eastAsia="Times New Roman" w:hAnsi="Times New Roman" w:cs="Times New Roman"/>
          <w:color w:val="666666"/>
          <w:lang w:eastAsia="en-GB"/>
        </w:rPr>
        <w:t>Meta-regression of age of onset of schizophrenia on standardized mean difference in premorbid full-scale IQ. Note: Each circle represents a study. Circle size is proportional to study weight.</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3.5. Is the IQ deficit progressive?</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To assess change in IQ during the premorbid period we looked at both within and between study changes in IQ over time. Repeated measures of IQ within the same individuals were available from three cohorts totalling 86 cases. IQ was tested at age 8, 11 and 15 years in the 1946 British birth cohort (</w:t>
      </w:r>
      <w:hyperlink r:id="rId72" w:anchor="bb0095" w:history="1">
        <w:r w:rsidRPr="00883F6B">
          <w:rPr>
            <w:rFonts w:ascii="Times New Roman" w:eastAsia="Times New Roman" w:hAnsi="Times New Roman" w:cs="Times New Roman"/>
            <w:color w:val="642A8F"/>
            <w:sz w:val="24"/>
            <w:szCs w:val="24"/>
            <w:u w:val="single"/>
            <w:lang w:eastAsia="en-GB"/>
          </w:rPr>
          <w:t>Jones et al., 1994</w:t>
        </w:r>
      </w:hyperlink>
      <w:r w:rsidRPr="00883F6B">
        <w:rPr>
          <w:rFonts w:ascii="Times New Roman" w:eastAsia="Times New Roman" w:hAnsi="Times New Roman" w:cs="Times New Roman"/>
          <w:color w:val="000000"/>
          <w:sz w:val="24"/>
          <w:szCs w:val="24"/>
          <w:lang w:eastAsia="en-GB"/>
        </w:rPr>
        <w:t>); at 5, 7, 11, and 13 in the Dunedin birth cohort (</w:t>
      </w:r>
      <w:hyperlink r:id="rId73" w:anchor="bb0035" w:history="1">
        <w:r w:rsidRPr="00883F6B">
          <w:rPr>
            <w:rFonts w:ascii="Times New Roman" w:eastAsia="Times New Roman" w:hAnsi="Times New Roman" w:cs="Times New Roman"/>
            <w:color w:val="642A8F"/>
            <w:sz w:val="24"/>
            <w:szCs w:val="24"/>
            <w:u w:val="single"/>
            <w:lang w:eastAsia="en-GB"/>
          </w:rPr>
          <w:t>Cannon et al., 2002</w:t>
        </w:r>
      </w:hyperlink>
      <w:r w:rsidRPr="00883F6B">
        <w:rPr>
          <w:rFonts w:ascii="Times New Roman" w:eastAsia="Times New Roman" w:hAnsi="Times New Roman" w:cs="Times New Roman"/>
          <w:color w:val="000000"/>
          <w:sz w:val="24"/>
          <w:szCs w:val="24"/>
          <w:lang w:eastAsia="en-GB"/>
        </w:rPr>
        <w:t>); and at 8, 11 and 16 in the 1958 British birth cohort (</w:t>
      </w:r>
      <w:hyperlink r:id="rId74" w:anchor="bb0045" w:history="1">
        <w:r w:rsidRPr="00883F6B">
          <w:rPr>
            <w:rFonts w:ascii="Times New Roman" w:eastAsia="Times New Roman" w:hAnsi="Times New Roman" w:cs="Times New Roman"/>
            <w:color w:val="642A8F"/>
            <w:sz w:val="24"/>
            <w:szCs w:val="24"/>
            <w:u w:val="single"/>
            <w:lang w:eastAsia="en-GB"/>
          </w:rPr>
          <w:t>Crow et al., 1995</w:t>
        </w:r>
      </w:hyperlink>
      <w:r w:rsidRPr="00883F6B">
        <w:rPr>
          <w:rFonts w:ascii="Times New Roman" w:eastAsia="Times New Roman" w:hAnsi="Times New Roman" w:cs="Times New Roman"/>
          <w:color w:val="000000"/>
          <w:sz w:val="24"/>
          <w:szCs w:val="24"/>
          <w:lang w:eastAsia="en-GB"/>
        </w:rPr>
        <w:t>). SMD in full-scale IQ was plotted at these time points, however, there was no evidence of significant change in IQ over time.</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 xml:space="preserve">IQ was measured earlier in the prospective birth cohort studies (between age 7 and 12) than the conscript cohorts (between 16 and 19 years). We carried out separate meta-analysis dividing the </w:t>
      </w:r>
      <w:r w:rsidRPr="00883F6B">
        <w:rPr>
          <w:rFonts w:ascii="Times New Roman" w:eastAsia="Times New Roman" w:hAnsi="Times New Roman" w:cs="Times New Roman"/>
          <w:color w:val="000000"/>
          <w:sz w:val="24"/>
          <w:szCs w:val="24"/>
          <w:lang w:eastAsia="en-GB"/>
        </w:rPr>
        <w:lastRenderedPageBreak/>
        <w:t>samples into two groups according to age of IQ testing (early versus late). There was no significant difference in premorbid IQ deficit between two groups (z = 1.31, p = 0.10). Meta-regression of SMD in full-scale IQ on age at the time of IQ testing (years) found no evidence for a greater IQ deficit with advancing age (slope = 0.007, SE 0.006, z = 1.13, p = 0.26).</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3.6. Gender effects on premorbid IQ</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The review by Aylward et al</w:t>
      </w:r>
      <w:r w:rsidRPr="00883F6B">
        <w:rPr>
          <w:rFonts w:ascii="Times New Roman" w:eastAsia="Times New Roman" w:hAnsi="Times New Roman" w:cs="Times New Roman"/>
          <w:i/>
          <w:iCs/>
          <w:color w:val="000000"/>
          <w:sz w:val="24"/>
          <w:szCs w:val="24"/>
          <w:lang w:eastAsia="en-GB"/>
        </w:rPr>
        <w:t>.</w:t>
      </w:r>
      <w:r w:rsidRPr="00883F6B">
        <w:rPr>
          <w:rFonts w:ascii="Times New Roman" w:eastAsia="Times New Roman" w:hAnsi="Times New Roman" w:cs="Times New Roman"/>
          <w:color w:val="000000"/>
          <w:sz w:val="24"/>
          <w:szCs w:val="24"/>
          <w:lang w:eastAsia="en-GB"/>
        </w:rPr>
        <w:t> reported a higher deficit in premorbid IQ among male cases of schizophrenia (</w:t>
      </w:r>
      <w:hyperlink r:id="rId75" w:anchor="bb0010" w:history="1">
        <w:r w:rsidRPr="00883F6B">
          <w:rPr>
            <w:rFonts w:ascii="Times New Roman" w:eastAsia="Times New Roman" w:hAnsi="Times New Roman" w:cs="Times New Roman"/>
            <w:color w:val="642A8F"/>
            <w:sz w:val="24"/>
            <w:szCs w:val="24"/>
            <w:u w:val="single"/>
            <w:lang w:eastAsia="en-GB"/>
          </w:rPr>
          <w:t>Aylward et al., 1984</w:t>
        </w:r>
      </w:hyperlink>
      <w:r w:rsidRPr="00883F6B">
        <w:rPr>
          <w:rFonts w:ascii="Times New Roman" w:eastAsia="Times New Roman" w:hAnsi="Times New Roman" w:cs="Times New Roman"/>
          <w:color w:val="000000"/>
          <w:sz w:val="24"/>
          <w:szCs w:val="24"/>
          <w:lang w:eastAsia="en-GB"/>
        </w:rPr>
        <w:t>). We carried out a meta-regression of SMD in full-scale IQ on proportion of men in cases based on 12 samples, adjusting for the age of IQ testing (</w:t>
      </w:r>
      <w:hyperlink r:id="rId76" w:anchor="bb0095" w:history="1">
        <w:r w:rsidRPr="00883F6B">
          <w:rPr>
            <w:rFonts w:ascii="Times New Roman" w:eastAsia="Times New Roman" w:hAnsi="Times New Roman" w:cs="Times New Roman"/>
            <w:color w:val="642A8F"/>
            <w:sz w:val="24"/>
            <w:szCs w:val="24"/>
            <w:u w:val="single"/>
            <w:lang w:eastAsia="en-GB"/>
          </w:rPr>
          <w:t>Jones et al., 1994; Crow et al., 1995; Cannon et al., 2000; Gunnell et al., 2002; Walker et al., 2002; Caspi et al., 2003; Zammit et al., 2004; Reichenberg et al., 2005; Seidman et al., 2006; Osler et al., 2007; Urfer-Parnas et al., 2010</w:t>
        </w:r>
      </w:hyperlink>
      <w:r w:rsidRPr="00883F6B">
        <w:rPr>
          <w:rFonts w:ascii="Times New Roman" w:eastAsia="Times New Roman" w:hAnsi="Times New Roman" w:cs="Times New Roman"/>
          <w:color w:val="000000"/>
          <w:sz w:val="24"/>
          <w:szCs w:val="24"/>
          <w:lang w:eastAsia="en-GB"/>
        </w:rPr>
        <w:t>). We found no evidence of significant difference in premorbid IQ between studies with different proportions of men (slope = 0.0016, SE 0.0025, p = 0.55). There was also no evidence of association between mean age of onset of a sample and the male:female ratio.</w:t>
      </w:r>
    </w:p>
    <w:p w:rsidR="00883F6B" w:rsidRPr="00883F6B" w:rsidRDefault="00883F6B" w:rsidP="00883F6B">
      <w:pPr>
        <w:shd w:val="clear" w:color="auto" w:fill="FFFFFF"/>
        <w:spacing w:before="308" w:after="154" w:line="300" w:lineRule="atLeast"/>
        <w:outlineLvl w:val="2"/>
        <w:rPr>
          <w:rFonts w:ascii="Arial" w:eastAsia="Times New Roman" w:hAnsi="Arial" w:cs="Arial"/>
          <w:color w:val="724128"/>
          <w:sz w:val="24"/>
          <w:szCs w:val="24"/>
          <w:lang w:eastAsia="en-GB"/>
        </w:rPr>
      </w:pPr>
      <w:r w:rsidRPr="00883F6B">
        <w:rPr>
          <w:rFonts w:ascii="Arial" w:eastAsia="Times New Roman" w:hAnsi="Arial" w:cs="Arial"/>
          <w:color w:val="724128"/>
          <w:sz w:val="24"/>
          <w:szCs w:val="24"/>
          <w:lang w:eastAsia="en-GB"/>
        </w:rPr>
        <w:t>3.7. Evaluation of publication bias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Inspection of a funnel plot and formal assessment using Egger's test found no significant indication of publication bias among reports of full-scale IQ (Egger's intercept 0.98, p = 0.08), verbal IQ (p = 0.84) or performance IQ (p = 0.06).</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77"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4.</w:t>
      </w:r>
      <w:r w:rsidRPr="00883F6B">
        <w:rPr>
          <w:rFonts w:ascii="Arial" w:eastAsia="Times New Roman" w:hAnsi="Arial" w:cs="Arial"/>
          <w:color w:val="985735"/>
          <w:sz w:val="27"/>
          <w:szCs w:val="27"/>
          <w:lang w:eastAsia="en-GB"/>
        </w:rPr>
        <w:t> </w:t>
      </w:r>
      <w:r w:rsidRPr="00883F6B">
        <w:rPr>
          <w:rFonts w:ascii="Arial" w:eastAsia="Times New Roman" w:hAnsi="Arial" w:cs="Arial"/>
          <w:color w:val="985735"/>
          <w:sz w:val="27"/>
          <w:szCs w:val="27"/>
          <w:lang w:eastAsia="en-GB"/>
        </w:rPr>
        <w:t>Discussion</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The neurodevelopmental hypothesis of schizophrenia argues that aberrant brain development is detectable in subtle cognitive, motor and other impairments present early in life, and that these differences are markers of the neural process that predisposes or leads to psychotic symptoms following further normal and/or abnormal developmental events (</w:t>
      </w:r>
      <w:hyperlink r:id="rId78" w:anchor="bb0125" w:history="1">
        <w:r w:rsidRPr="00883F6B">
          <w:rPr>
            <w:rFonts w:ascii="Times New Roman" w:eastAsia="Times New Roman" w:hAnsi="Times New Roman" w:cs="Times New Roman"/>
            <w:color w:val="642A8F"/>
            <w:sz w:val="24"/>
            <w:szCs w:val="24"/>
            <w:u w:val="single"/>
            <w:lang w:eastAsia="en-GB"/>
          </w:rPr>
          <w:t>Murray and Lewis, 1987; Weinberger, 1987</w:t>
        </w:r>
      </w:hyperlink>
      <w:r w:rsidRPr="00883F6B">
        <w:rPr>
          <w:rFonts w:ascii="Times New Roman" w:eastAsia="Times New Roman" w:hAnsi="Times New Roman" w:cs="Times New Roman"/>
          <w:color w:val="000000"/>
          <w:sz w:val="24"/>
          <w:szCs w:val="24"/>
          <w:lang w:eastAsia="en-GB"/>
        </w:rPr>
        <w:t>). The present meta-analysis of robust population-based datasets, involving 4396 cases and 745 720 controls confirmed the presence of an IQ deficit of around 0.4 standard deviations among young people who will later develop schizophrenia. This is a large effect at the population level. Moreover, we observed a linear association between schizophrenia and IQ, equating to a 3.7% increase in risk for every 1-point decrease in premorbid IQ. These findings cannot be explained only by a severely impaired subgroup, and are consistent with previous reports of a left-shift of the entire distribution of premorbid IQ score in schizophrenia (</w:t>
      </w:r>
      <w:hyperlink r:id="rId79" w:anchor="bb0095" w:history="1">
        <w:r w:rsidRPr="00883F6B">
          <w:rPr>
            <w:rFonts w:ascii="Times New Roman" w:eastAsia="Times New Roman" w:hAnsi="Times New Roman" w:cs="Times New Roman"/>
            <w:color w:val="642A8F"/>
            <w:sz w:val="24"/>
            <w:szCs w:val="24"/>
            <w:u w:val="single"/>
            <w:lang w:eastAsia="en-GB"/>
          </w:rPr>
          <w:t>Jones et al., 1994; David et al., 1997</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Unlike many putative risk factors for schizophrenia, this meta-analysis showed strikingly consistent associations between premorbid IQ and schizophrenia (</w:t>
      </w:r>
      <w:hyperlink r:id="rId80" w:tgtFrame="figure" w:history="1">
        <w:r w:rsidRPr="00883F6B">
          <w:rPr>
            <w:rFonts w:ascii="Times New Roman" w:eastAsia="Times New Roman" w:hAnsi="Times New Roman" w:cs="Times New Roman"/>
            <w:color w:val="642A8F"/>
            <w:sz w:val="24"/>
            <w:szCs w:val="24"/>
            <w:u w:val="single"/>
            <w:lang w:eastAsia="en-GB"/>
          </w:rPr>
          <w:t>Fig. 1</w:t>
        </w:r>
      </w:hyperlink>
      <w:r w:rsidRPr="00883F6B">
        <w:rPr>
          <w:rFonts w:ascii="Times New Roman" w:eastAsia="Times New Roman" w:hAnsi="Times New Roman" w:cs="Times New Roman"/>
          <w:color w:val="000000"/>
          <w:sz w:val="24"/>
          <w:szCs w:val="24"/>
          <w:lang w:eastAsia="en-GB"/>
        </w:rPr>
        <w:t>). Nonetheless, some heterogeneity in effect size was present. Possible sources of heterogeneity include differences in measures of IQ and testing procedures, sample types (cohort versus conscript studies), and length of follow up. For example, studies that used school-based group IQ tests reported a smaller decrement (</w:t>
      </w:r>
      <w:hyperlink r:id="rId81" w:anchor="bb0200" w:history="1">
        <w:r w:rsidRPr="00883F6B">
          <w:rPr>
            <w:rFonts w:ascii="Times New Roman" w:eastAsia="Times New Roman" w:hAnsi="Times New Roman" w:cs="Times New Roman"/>
            <w:color w:val="642A8F"/>
            <w:sz w:val="24"/>
            <w:szCs w:val="24"/>
            <w:u w:val="single"/>
            <w:lang w:eastAsia="en-GB"/>
          </w:rPr>
          <w:t>Walker et al., 2002; Osler et al., 2007</w:t>
        </w:r>
      </w:hyperlink>
      <w:r w:rsidRPr="00883F6B">
        <w:rPr>
          <w:rFonts w:ascii="Times New Roman" w:eastAsia="Times New Roman" w:hAnsi="Times New Roman" w:cs="Times New Roman"/>
          <w:color w:val="000000"/>
          <w:sz w:val="24"/>
          <w:szCs w:val="24"/>
          <w:lang w:eastAsia="en-GB"/>
        </w:rPr>
        <w:t>) than studies that used individual assessment, such as WISC, at a similar age (</w:t>
      </w:r>
      <w:hyperlink r:id="rId82" w:anchor="bb0030" w:history="1">
        <w:r w:rsidRPr="00883F6B">
          <w:rPr>
            <w:rFonts w:ascii="Times New Roman" w:eastAsia="Times New Roman" w:hAnsi="Times New Roman" w:cs="Times New Roman"/>
            <w:color w:val="642A8F"/>
            <w:sz w:val="24"/>
            <w:szCs w:val="24"/>
            <w:u w:val="single"/>
            <w:lang w:eastAsia="en-GB"/>
          </w:rPr>
          <w:t>Cannon et al., 2000, 2002</w:t>
        </w:r>
      </w:hyperlink>
      <w:r w:rsidRPr="00883F6B">
        <w:rPr>
          <w:rFonts w:ascii="Times New Roman" w:eastAsia="Times New Roman" w:hAnsi="Times New Roman" w:cs="Times New Roman"/>
          <w:color w:val="000000"/>
          <w:sz w:val="24"/>
          <w:szCs w:val="24"/>
          <w:lang w:eastAsia="en-GB"/>
        </w:rPr>
        <w:t xml:space="preserve">). Nonetheless, the remarkably similar </w:t>
      </w:r>
      <w:r w:rsidRPr="00883F6B">
        <w:rPr>
          <w:rFonts w:ascii="Times New Roman" w:eastAsia="Times New Roman" w:hAnsi="Times New Roman" w:cs="Times New Roman"/>
          <w:color w:val="000000"/>
          <w:sz w:val="24"/>
          <w:szCs w:val="24"/>
          <w:lang w:eastAsia="en-GB"/>
        </w:rPr>
        <w:lastRenderedPageBreak/>
        <w:t>effect size obtained from aggregation of verbal and nonverbal IQ measures suggests that differences in testing method may be relatively unimportant.</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Greater premorbid IQ deficits were strongly associated with an earlier average age of illness onset (</w:t>
      </w:r>
      <w:hyperlink r:id="rId83" w:tgtFrame="figure" w:history="1">
        <w:r w:rsidRPr="00883F6B">
          <w:rPr>
            <w:rFonts w:ascii="Times New Roman" w:eastAsia="Times New Roman" w:hAnsi="Times New Roman" w:cs="Times New Roman"/>
            <w:color w:val="642A8F"/>
            <w:sz w:val="24"/>
            <w:szCs w:val="24"/>
            <w:u w:val="single"/>
            <w:lang w:eastAsia="en-GB"/>
          </w:rPr>
          <w:t>Fig. 3</w:t>
        </w:r>
      </w:hyperlink>
      <w:r w:rsidRPr="00883F6B">
        <w:rPr>
          <w:rFonts w:ascii="Times New Roman" w:eastAsia="Times New Roman" w:hAnsi="Times New Roman" w:cs="Times New Roman"/>
          <w:color w:val="000000"/>
          <w:sz w:val="24"/>
          <w:szCs w:val="24"/>
          <w:lang w:eastAsia="en-GB"/>
        </w:rPr>
        <w:t>). We acknowledge that mean age of onset in longitudinal studies can be influenced by length of follow up. However, our finding is consistent with previous case control studies (</w:t>
      </w:r>
      <w:hyperlink r:id="rId84" w:anchor="bb0150" w:history="1">
        <w:r w:rsidRPr="00883F6B">
          <w:rPr>
            <w:rFonts w:ascii="Times New Roman" w:eastAsia="Times New Roman" w:hAnsi="Times New Roman" w:cs="Times New Roman"/>
            <w:color w:val="642A8F"/>
            <w:sz w:val="24"/>
            <w:szCs w:val="24"/>
            <w:u w:val="single"/>
            <w:lang w:eastAsia="en-GB"/>
          </w:rPr>
          <w:t>Pollack, 1960; Offord and Cross, 1971</w:t>
        </w:r>
      </w:hyperlink>
      <w:r w:rsidRPr="00883F6B">
        <w:rPr>
          <w:rFonts w:ascii="Times New Roman" w:eastAsia="Times New Roman" w:hAnsi="Times New Roman" w:cs="Times New Roman"/>
          <w:color w:val="000000"/>
          <w:sz w:val="24"/>
          <w:szCs w:val="24"/>
          <w:lang w:eastAsia="en-GB"/>
        </w:rPr>
        <w:t>), and the only previous review that examined this association (</w:t>
      </w:r>
      <w:hyperlink r:id="rId85" w:anchor="bb0010" w:history="1">
        <w:r w:rsidRPr="00883F6B">
          <w:rPr>
            <w:rFonts w:ascii="Times New Roman" w:eastAsia="Times New Roman" w:hAnsi="Times New Roman" w:cs="Times New Roman"/>
            <w:color w:val="642A8F"/>
            <w:sz w:val="24"/>
            <w:szCs w:val="24"/>
            <w:u w:val="single"/>
            <w:lang w:eastAsia="en-GB"/>
          </w:rPr>
          <w:t>Aylward et al., 1984</w:t>
        </w:r>
      </w:hyperlink>
      <w:r w:rsidRPr="00883F6B">
        <w:rPr>
          <w:rFonts w:ascii="Times New Roman" w:eastAsia="Times New Roman" w:hAnsi="Times New Roman" w:cs="Times New Roman"/>
          <w:color w:val="000000"/>
          <w:sz w:val="24"/>
          <w:szCs w:val="24"/>
          <w:lang w:eastAsia="en-GB"/>
        </w:rPr>
        <w:t>). One conscript study reported only a modest deficit in premorbid IQ in cases of early onset schizophrenia (</w:t>
      </w:r>
      <w:hyperlink r:id="rId86" w:anchor="bb0075" w:history="1">
        <w:r w:rsidRPr="00883F6B">
          <w:rPr>
            <w:rFonts w:ascii="Times New Roman" w:eastAsia="Times New Roman" w:hAnsi="Times New Roman" w:cs="Times New Roman"/>
            <w:color w:val="642A8F"/>
            <w:sz w:val="24"/>
            <w:szCs w:val="24"/>
            <w:u w:val="single"/>
            <w:lang w:eastAsia="en-GB"/>
          </w:rPr>
          <w:t>Gunnell et al., 2002</w:t>
        </w:r>
      </w:hyperlink>
      <w:r w:rsidRPr="00883F6B">
        <w:rPr>
          <w:rFonts w:ascii="Times New Roman" w:eastAsia="Times New Roman" w:hAnsi="Times New Roman" w:cs="Times New Roman"/>
          <w:color w:val="000000"/>
          <w:sz w:val="24"/>
          <w:szCs w:val="24"/>
          <w:lang w:eastAsia="en-GB"/>
        </w:rPr>
        <w:t>), which can be explained by its relatively short duration of follow. Moreover, most military conscript cohorts excluded individuals presenting with mental illness, mental retardation, epilepsy or any severe disability at the time of draft assessment (</w:t>
      </w:r>
      <w:hyperlink r:id="rId87" w:anchor="bb0075" w:history="1">
        <w:r w:rsidRPr="00883F6B">
          <w:rPr>
            <w:rFonts w:ascii="Times New Roman" w:eastAsia="Times New Roman" w:hAnsi="Times New Roman" w:cs="Times New Roman"/>
            <w:color w:val="642A8F"/>
            <w:sz w:val="24"/>
            <w:szCs w:val="24"/>
            <w:u w:val="single"/>
            <w:lang w:eastAsia="en-GB"/>
          </w:rPr>
          <w:t>Gunnell et al., 2002; Zammit et al., 2004; Reichenberg et al., 2005; Urfer-Parnas et al., 2010</w:t>
        </w:r>
      </w:hyperlink>
      <w:r w:rsidRPr="00883F6B">
        <w:rPr>
          <w:rFonts w:ascii="Times New Roman" w:eastAsia="Times New Roman" w:hAnsi="Times New Roman" w:cs="Times New Roman"/>
          <w:color w:val="000000"/>
          <w:sz w:val="24"/>
          <w:szCs w:val="24"/>
          <w:lang w:eastAsia="en-GB"/>
        </w:rPr>
        <w:t>). This may have biased the samples away from the early onset cases of schizophrenia, which may be the most cognitively impaired, and hence underestimated the association between low IQ and schizophrenia. Nonetheless, we found two approximately linear relationships, between premorbid IQ and risk for schizophrenia, and between premorbid IQ and age of onset of schizophrenia.</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These findings point toward a widespread neurodevelopmental contribution to schizophrenia that operates across the entire range of intellectual ability. This is in contrast to previous suggestions that neurodevelopmental abnormalities may be confined to (</w:t>
      </w:r>
      <w:hyperlink r:id="rId88" w:anchor="bb0130" w:history="1">
        <w:r w:rsidRPr="00883F6B">
          <w:rPr>
            <w:rFonts w:ascii="Times New Roman" w:eastAsia="Times New Roman" w:hAnsi="Times New Roman" w:cs="Times New Roman"/>
            <w:color w:val="642A8F"/>
            <w:sz w:val="24"/>
            <w:szCs w:val="24"/>
            <w:u w:val="single"/>
            <w:lang w:eastAsia="en-GB"/>
          </w:rPr>
          <w:t>Murray et al., 1992</w:t>
        </w:r>
      </w:hyperlink>
      <w:r w:rsidRPr="00883F6B">
        <w:rPr>
          <w:rFonts w:ascii="Times New Roman" w:eastAsia="Times New Roman" w:hAnsi="Times New Roman" w:cs="Times New Roman"/>
          <w:color w:val="000000"/>
          <w:sz w:val="24"/>
          <w:szCs w:val="24"/>
          <w:lang w:eastAsia="en-GB"/>
        </w:rPr>
        <w:t>), or more prominent (</w:t>
      </w:r>
      <w:hyperlink r:id="rId89" w:anchor="bb0055" w:history="1">
        <w:r w:rsidRPr="00883F6B">
          <w:rPr>
            <w:rFonts w:ascii="Times New Roman" w:eastAsia="Times New Roman" w:hAnsi="Times New Roman" w:cs="Times New Roman"/>
            <w:color w:val="642A8F"/>
            <w:sz w:val="24"/>
            <w:szCs w:val="24"/>
            <w:u w:val="single"/>
            <w:lang w:eastAsia="en-GB"/>
          </w:rPr>
          <w:t>Dean et al., 2003</w:t>
        </w:r>
      </w:hyperlink>
      <w:r w:rsidRPr="00883F6B">
        <w:rPr>
          <w:rFonts w:ascii="Times New Roman" w:eastAsia="Times New Roman" w:hAnsi="Times New Roman" w:cs="Times New Roman"/>
          <w:color w:val="000000"/>
          <w:sz w:val="24"/>
          <w:szCs w:val="24"/>
          <w:lang w:eastAsia="en-GB"/>
        </w:rPr>
        <w:t>), in a subgroup of schizophrenia cases characterized by poor premorbid intelligence, early illness onset and male predominance. This is not to suggest that other factors, alone or in combinations, are not important causes of schizophrenia; and that discrete combination of genetic and environmental factors may be involved. However, the data are consistent with a continuity of developmental risk rather than a sub-type. The majority of causal constellations are either manifest as, or mediated by a cognitive or IQ-related factor. Such an effect may involve either risk or protection, as discussed, below.</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IQ in military conscripts was tested later (16–19 years) than in birth cohorts (6–12 years). To eliminate the possibility of reverse causality (i.e. low IQ as a result of early disease process or prodromal state) three conscript studies excluded those who developed psychosis within one (</w:t>
      </w:r>
      <w:hyperlink r:id="rId90" w:anchor="bb0160" w:history="1">
        <w:r w:rsidRPr="00883F6B">
          <w:rPr>
            <w:rFonts w:ascii="Times New Roman" w:eastAsia="Times New Roman" w:hAnsi="Times New Roman" w:cs="Times New Roman"/>
            <w:color w:val="642A8F"/>
            <w:sz w:val="24"/>
            <w:szCs w:val="24"/>
            <w:u w:val="single"/>
            <w:lang w:eastAsia="en-GB"/>
          </w:rPr>
          <w:t>Reichenberg et al., 2005; Urfer-Parnas et al., 2010</w:t>
        </w:r>
      </w:hyperlink>
      <w:r w:rsidRPr="00883F6B">
        <w:rPr>
          <w:rFonts w:ascii="Times New Roman" w:eastAsia="Times New Roman" w:hAnsi="Times New Roman" w:cs="Times New Roman"/>
          <w:color w:val="000000"/>
          <w:sz w:val="24"/>
          <w:szCs w:val="24"/>
          <w:lang w:eastAsia="en-GB"/>
        </w:rPr>
        <w:t>), or two (</w:t>
      </w:r>
      <w:hyperlink r:id="rId91" w:anchor="bb0040" w:history="1">
        <w:r w:rsidRPr="00883F6B">
          <w:rPr>
            <w:rFonts w:ascii="Times New Roman" w:eastAsia="Times New Roman" w:hAnsi="Times New Roman" w:cs="Times New Roman"/>
            <w:color w:val="642A8F"/>
            <w:sz w:val="24"/>
            <w:szCs w:val="24"/>
            <w:u w:val="single"/>
            <w:lang w:eastAsia="en-GB"/>
          </w:rPr>
          <w:t>Caspi et al., 2003</w:t>
        </w:r>
      </w:hyperlink>
      <w:r w:rsidRPr="00883F6B">
        <w:rPr>
          <w:rFonts w:ascii="Times New Roman" w:eastAsia="Times New Roman" w:hAnsi="Times New Roman" w:cs="Times New Roman"/>
          <w:color w:val="000000"/>
          <w:sz w:val="24"/>
          <w:szCs w:val="24"/>
          <w:lang w:eastAsia="en-GB"/>
        </w:rPr>
        <w:t>) years after cognitive assessment. However, the possibility of some prodromal cases in the remaining two conscript studies cannot be ruled out (</w:t>
      </w:r>
      <w:hyperlink r:id="rId92" w:anchor="bb0075" w:history="1">
        <w:r w:rsidRPr="00883F6B">
          <w:rPr>
            <w:rFonts w:ascii="Times New Roman" w:eastAsia="Times New Roman" w:hAnsi="Times New Roman" w:cs="Times New Roman"/>
            <w:color w:val="642A8F"/>
            <w:sz w:val="24"/>
            <w:szCs w:val="24"/>
            <w:u w:val="single"/>
            <w:lang w:eastAsia="en-GB"/>
          </w:rPr>
          <w:t>Gunnell et al., 2002; Zammit et al., 2004</w:t>
        </w:r>
      </w:hyperlink>
      <w:r w:rsidRPr="00883F6B">
        <w:rPr>
          <w:rFonts w:ascii="Times New Roman" w:eastAsia="Times New Roman" w:hAnsi="Times New Roman" w:cs="Times New Roman"/>
          <w:color w:val="000000"/>
          <w:sz w:val="24"/>
          <w:szCs w:val="24"/>
          <w:lang w:eastAsia="en-GB"/>
        </w:rPr>
        <w:t>). The mean effect size in conscript studies appears to be slightly larger than that of birth cohorts (− 0.46 versus −0.39), although this difference was not statistically significant. As the mean effect size of IQ deficit in first-episode schizophrenia is − 0.89 (</w:t>
      </w:r>
      <w:hyperlink r:id="rId93" w:anchor="bb0155" w:history="1">
        <w:r w:rsidRPr="00883F6B">
          <w:rPr>
            <w:rFonts w:ascii="Times New Roman" w:eastAsia="Times New Roman" w:hAnsi="Times New Roman" w:cs="Times New Roman"/>
            <w:color w:val="642A8F"/>
            <w:sz w:val="24"/>
            <w:szCs w:val="24"/>
            <w:u w:val="single"/>
            <w:lang w:eastAsia="en-GB"/>
          </w:rPr>
          <w:t>Rajji et al., 2009</w:t>
        </w:r>
      </w:hyperlink>
      <w:r w:rsidRPr="00883F6B">
        <w:rPr>
          <w:rFonts w:ascii="Times New Roman" w:eastAsia="Times New Roman" w:hAnsi="Times New Roman" w:cs="Times New Roman"/>
          <w:color w:val="000000"/>
          <w:sz w:val="24"/>
          <w:szCs w:val="24"/>
          <w:lang w:eastAsia="en-GB"/>
        </w:rPr>
        <w:t>), one could argue that our findings suggest a subtle but gradual deterioration of intellectual function over the premorbid period. Progressive deterioration in premorbid IQ is in keeping with both early static and dynamic brain lesion according to the neurodevelopmental hypothesis of schizophrenia. A static lesion can interact with other environmental factors (as well as normal maturational processes) to result in deterioration in intellectual performance during disease prodrome. Alternatively in a ‘dynamic model’ developmental mechanisms such as apoptosis and neuronal pruning can give rise to cognitive deterioration much earlier in the premorbid period (</w:t>
      </w:r>
      <w:hyperlink r:id="rId94" w:anchor="bb0225" w:history="1">
        <w:r w:rsidRPr="00883F6B">
          <w:rPr>
            <w:rFonts w:ascii="Times New Roman" w:eastAsia="Times New Roman" w:hAnsi="Times New Roman" w:cs="Times New Roman"/>
            <w:color w:val="642A8F"/>
            <w:sz w:val="24"/>
            <w:szCs w:val="24"/>
            <w:u w:val="single"/>
            <w:lang w:eastAsia="en-GB"/>
          </w:rPr>
          <w:t>Woods, 1998</w:t>
        </w:r>
      </w:hyperlink>
      <w:r w:rsidRPr="00883F6B">
        <w:rPr>
          <w:rFonts w:ascii="Times New Roman" w:eastAsia="Times New Roman" w:hAnsi="Times New Roman" w:cs="Times New Roman"/>
          <w:color w:val="000000"/>
          <w:sz w:val="24"/>
          <w:szCs w:val="24"/>
          <w:lang w:eastAsia="en-GB"/>
        </w:rPr>
        <w:t xml:space="preserve">). However, this hypothesis can be tested conclusively only by repeated assessment within the same individuals. Such longitudinal data were available from only three cohorts (totalling 86 cases), so further studies with larger samples are required. Our own view tends toward a more dynamic </w:t>
      </w:r>
      <w:r w:rsidRPr="00883F6B">
        <w:rPr>
          <w:rFonts w:ascii="Times New Roman" w:eastAsia="Times New Roman" w:hAnsi="Times New Roman" w:cs="Times New Roman"/>
          <w:color w:val="000000"/>
          <w:sz w:val="24"/>
          <w:szCs w:val="24"/>
          <w:lang w:eastAsia="en-GB"/>
        </w:rPr>
        <w:lastRenderedPageBreak/>
        <w:t>model involving a developmental view of neural connectivity (</w:t>
      </w:r>
      <w:hyperlink r:id="rId95" w:anchor="bb0165" w:history="1">
        <w:r w:rsidRPr="00883F6B">
          <w:rPr>
            <w:rFonts w:ascii="Times New Roman" w:eastAsia="Times New Roman" w:hAnsi="Times New Roman" w:cs="Times New Roman"/>
            <w:color w:val="642A8F"/>
            <w:sz w:val="24"/>
            <w:szCs w:val="24"/>
            <w:u w:val="single"/>
            <w:lang w:eastAsia="en-GB"/>
          </w:rPr>
          <w:t>Ridler et al., 2006</w:t>
        </w:r>
      </w:hyperlink>
      <w:r w:rsidRPr="00883F6B">
        <w:rPr>
          <w:rFonts w:ascii="Times New Roman" w:eastAsia="Times New Roman" w:hAnsi="Times New Roman" w:cs="Times New Roman"/>
          <w:color w:val="000000"/>
          <w:sz w:val="24"/>
          <w:szCs w:val="24"/>
          <w:lang w:eastAsia="en-GB"/>
        </w:rPr>
        <w:t>) that is discussed, below.</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Additional possible sources of heterogeneity between studies include differences in case definition and ascertainment, and gender distribution between samples. Studies that used a narrower definition of schizophrenia, or ascertained cases through hospitalization, may detect a subset of more severe cases, resulting in larger effect size (</w:t>
      </w:r>
      <w:hyperlink r:id="rId96" w:anchor="bb0045" w:history="1">
        <w:r w:rsidRPr="00883F6B">
          <w:rPr>
            <w:rFonts w:ascii="Times New Roman" w:eastAsia="Times New Roman" w:hAnsi="Times New Roman" w:cs="Times New Roman"/>
            <w:color w:val="642A8F"/>
            <w:sz w:val="24"/>
            <w:szCs w:val="24"/>
            <w:u w:val="single"/>
            <w:lang w:eastAsia="en-GB"/>
          </w:rPr>
          <w:t>Crow et al., 1995; Seidman et al., 2006</w:t>
        </w:r>
      </w:hyperlink>
      <w:r w:rsidRPr="00883F6B">
        <w:rPr>
          <w:rFonts w:ascii="Times New Roman" w:eastAsia="Times New Roman" w:hAnsi="Times New Roman" w:cs="Times New Roman"/>
          <w:color w:val="000000"/>
          <w:sz w:val="24"/>
          <w:szCs w:val="24"/>
          <w:lang w:eastAsia="en-GB"/>
        </w:rPr>
        <w:t>). Conversely, the use of a broader diagnostic outcome (ICD 10 code F20–29) may have diluted the effect size in one study (</w:t>
      </w:r>
      <w:hyperlink r:id="rId97" w:anchor="bb0200" w:history="1">
        <w:r w:rsidRPr="00883F6B">
          <w:rPr>
            <w:rFonts w:ascii="Times New Roman" w:eastAsia="Times New Roman" w:hAnsi="Times New Roman" w:cs="Times New Roman"/>
            <w:color w:val="642A8F"/>
            <w:sz w:val="24"/>
            <w:szCs w:val="24"/>
            <w:u w:val="single"/>
            <w:lang w:eastAsia="en-GB"/>
          </w:rPr>
          <w:t>Walker et al., 2002</w:t>
        </w:r>
      </w:hyperlink>
      <w:r w:rsidRPr="00883F6B">
        <w:rPr>
          <w:rFonts w:ascii="Times New Roman" w:eastAsia="Times New Roman" w:hAnsi="Times New Roman" w:cs="Times New Roman"/>
          <w:color w:val="000000"/>
          <w:sz w:val="24"/>
          <w:szCs w:val="24"/>
          <w:lang w:eastAsia="en-GB"/>
        </w:rPr>
        <w:t>). Despite sex differences in cognitive development (</w:t>
      </w:r>
      <w:hyperlink r:id="rId98" w:anchor="bb0020" w:history="1">
        <w:r w:rsidRPr="00883F6B">
          <w:rPr>
            <w:rFonts w:ascii="Times New Roman" w:eastAsia="Times New Roman" w:hAnsi="Times New Roman" w:cs="Times New Roman"/>
            <w:color w:val="642A8F"/>
            <w:sz w:val="24"/>
            <w:szCs w:val="24"/>
            <w:u w:val="single"/>
            <w:lang w:eastAsia="en-GB"/>
          </w:rPr>
          <w:t>Belenky et al., 1986</w:t>
        </w:r>
      </w:hyperlink>
      <w:r w:rsidRPr="00883F6B">
        <w:rPr>
          <w:rFonts w:ascii="Times New Roman" w:eastAsia="Times New Roman" w:hAnsi="Times New Roman" w:cs="Times New Roman"/>
          <w:color w:val="000000"/>
          <w:sz w:val="24"/>
          <w:szCs w:val="24"/>
          <w:lang w:eastAsia="en-GB"/>
        </w:rPr>
        <w:t>) and age of risk for schizophrenia (</w:t>
      </w:r>
      <w:hyperlink r:id="rId99" w:anchor="bb0100" w:history="1">
        <w:r w:rsidRPr="00883F6B">
          <w:rPr>
            <w:rFonts w:ascii="Times New Roman" w:eastAsia="Times New Roman" w:hAnsi="Times New Roman" w:cs="Times New Roman"/>
            <w:color w:val="642A8F"/>
            <w:sz w:val="24"/>
            <w:szCs w:val="24"/>
            <w:u w:val="single"/>
            <w:lang w:eastAsia="en-GB"/>
          </w:rPr>
          <w:t>Kirkbride et al., 2006</w:t>
        </w:r>
      </w:hyperlink>
      <w:r w:rsidRPr="00883F6B">
        <w:rPr>
          <w:rFonts w:ascii="Times New Roman" w:eastAsia="Times New Roman" w:hAnsi="Times New Roman" w:cs="Times New Roman"/>
          <w:color w:val="000000"/>
          <w:sz w:val="24"/>
          <w:szCs w:val="24"/>
          <w:lang w:eastAsia="en-GB"/>
        </w:rPr>
        <w:t>), we found no significant association between gender ratio and effect size. However, these meta-regression analyses lacked power due to limited data-sets. In contrast to a previous review (</w:t>
      </w:r>
      <w:hyperlink r:id="rId100" w:anchor="bb0010" w:history="1">
        <w:r w:rsidRPr="00883F6B">
          <w:rPr>
            <w:rFonts w:ascii="Times New Roman" w:eastAsia="Times New Roman" w:hAnsi="Times New Roman" w:cs="Times New Roman"/>
            <w:color w:val="642A8F"/>
            <w:sz w:val="24"/>
            <w:szCs w:val="24"/>
            <w:u w:val="single"/>
            <w:lang w:eastAsia="en-GB"/>
          </w:rPr>
          <w:t>Aylward et al., 1984</w:t>
        </w:r>
      </w:hyperlink>
      <w:r w:rsidRPr="00883F6B">
        <w:rPr>
          <w:rFonts w:ascii="Times New Roman" w:eastAsia="Times New Roman" w:hAnsi="Times New Roman" w:cs="Times New Roman"/>
          <w:color w:val="000000"/>
          <w:sz w:val="24"/>
          <w:szCs w:val="24"/>
          <w:lang w:eastAsia="en-GB"/>
        </w:rPr>
        <w:t>), we found no difference in the magnitude of verbal versus nonverbal cognitive decrements, although estimates of verbal IQ showed less heterogeneity between samples than those of nonverbal IQ, perhaps due to differences in the range of tests used to estimate these scores. A limitation of this review is lack of individual participant data, which did not allow us to account for confounding factors in the meta-analysis and meta-regression analyses (</w:t>
      </w:r>
      <w:hyperlink r:id="rId101" w:anchor="bb0180" w:history="1">
        <w:r w:rsidRPr="00883F6B">
          <w:rPr>
            <w:rFonts w:ascii="Times New Roman" w:eastAsia="Times New Roman" w:hAnsi="Times New Roman" w:cs="Times New Roman"/>
            <w:color w:val="642A8F"/>
            <w:sz w:val="24"/>
            <w:szCs w:val="24"/>
            <w:u w:val="single"/>
            <w:lang w:eastAsia="en-GB"/>
          </w:rPr>
          <w:t>Thompson and Higgins, 2005</w:t>
        </w:r>
      </w:hyperlink>
      <w:r w:rsidRPr="00883F6B">
        <w:rPr>
          <w:rFonts w:ascii="Times New Roman" w:eastAsia="Times New Roman" w:hAnsi="Times New Roman" w:cs="Times New Roman"/>
          <w:color w:val="000000"/>
          <w:sz w:val="24"/>
          <w:szCs w:val="24"/>
          <w:lang w:eastAsia="en-GB"/>
        </w:rPr>
        <w:t>). However, all individual studies adjusted their results for several confounding factors (</w:t>
      </w:r>
      <w:hyperlink r:id="rId102" w:tgtFrame="table" w:history="1">
        <w:r w:rsidRPr="00883F6B">
          <w:rPr>
            <w:rFonts w:ascii="Times New Roman" w:eastAsia="Times New Roman" w:hAnsi="Times New Roman" w:cs="Times New Roman"/>
            <w:color w:val="642A8F"/>
            <w:sz w:val="24"/>
            <w:szCs w:val="24"/>
            <w:u w:val="single"/>
            <w:lang w:eastAsia="en-GB"/>
          </w:rPr>
          <w:t>Table 1</w:t>
        </w:r>
      </w:hyperlink>
      <w:r w:rsidRPr="00883F6B">
        <w:rPr>
          <w:rFonts w:ascii="Times New Roman" w:eastAsia="Times New Roman" w:hAnsi="Times New Roman" w:cs="Times New Roman"/>
          <w:color w:val="000000"/>
          <w:sz w:val="24"/>
          <w:szCs w:val="24"/>
          <w:lang w:eastAsia="en-GB"/>
        </w:rPr>
        <w:t>), and all reported an effect in the same direction (</w:t>
      </w:r>
      <w:hyperlink r:id="rId103" w:tgtFrame="figure" w:history="1">
        <w:r w:rsidRPr="00883F6B">
          <w:rPr>
            <w:rFonts w:ascii="Times New Roman" w:eastAsia="Times New Roman" w:hAnsi="Times New Roman" w:cs="Times New Roman"/>
            <w:color w:val="642A8F"/>
            <w:sz w:val="24"/>
            <w:szCs w:val="24"/>
            <w:u w:val="single"/>
            <w:lang w:eastAsia="en-GB"/>
          </w:rPr>
          <w:t>Fig. 1</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An alternative explanatory model is that IQ is a protective factor, buffering the impact of separate processes that, themselves, modify (increase) the risk for psychosis. Such an interactive model draws upon theories of cognitive reserve, a concept proposed to account for apparent disparity between the degree of brain pathology and its clinical manifestations (</w:t>
      </w:r>
      <w:hyperlink r:id="rId104" w:anchor="bb0175" w:history="1">
        <w:r w:rsidRPr="00883F6B">
          <w:rPr>
            <w:rFonts w:ascii="Times New Roman" w:eastAsia="Times New Roman" w:hAnsi="Times New Roman" w:cs="Times New Roman"/>
            <w:color w:val="642A8F"/>
            <w:sz w:val="24"/>
            <w:szCs w:val="24"/>
            <w:u w:val="single"/>
            <w:lang w:eastAsia="en-GB"/>
          </w:rPr>
          <w:t>Stern, 2002</w:t>
        </w:r>
      </w:hyperlink>
      <w:r w:rsidRPr="00883F6B">
        <w:rPr>
          <w:rFonts w:ascii="Times New Roman" w:eastAsia="Times New Roman" w:hAnsi="Times New Roman" w:cs="Times New Roman"/>
          <w:color w:val="000000"/>
          <w:sz w:val="24"/>
          <w:szCs w:val="24"/>
          <w:lang w:eastAsia="en-GB"/>
        </w:rPr>
        <w:t>). For example, up to 25% of elderly people who perform normally in neuropsychological tests prior to death meet criteria for Alzheimer's disease in post-mortem histopathological examinations (</w:t>
      </w:r>
      <w:hyperlink r:id="rId105" w:anchor="bb0090" w:history="1">
        <w:r w:rsidRPr="00883F6B">
          <w:rPr>
            <w:rFonts w:ascii="Times New Roman" w:eastAsia="Times New Roman" w:hAnsi="Times New Roman" w:cs="Times New Roman"/>
            <w:color w:val="642A8F"/>
            <w:sz w:val="24"/>
            <w:szCs w:val="24"/>
            <w:u w:val="single"/>
            <w:lang w:eastAsia="en-GB"/>
          </w:rPr>
          <w:t>Ince, 2001</w:t>
        </w:r>
      </w:hyperlink>
      <w:r w:rsidRPr="00883F6B">
        <w:rPr>
          <w:rFonts w:ascii="Times New Roman" w:eastAsia="Times New Roman" w:hAnsi="Times New Roman" w:cs="Times New Roman"/>
          <w:color w:val="000000"/>
          <w:sz w:val="24"/>
          <w:szCs w:val="24"/>
          <w:lang w:eastAsia="en-GB"/>
        </w:rPr>
        <w:t>), suggesting that this degree of pathology does not invariably result in clinical dementia. In neuropsychiatric disorders such as schizophrenia cognitive reserve may be associated with the risk of developing illness, as well as symptom manifestation and long term functional outcome (</w:t>
      </w:r>
      <w:hyperlink r:id="rId106" w:anchor="bb0015" w:history="1">
        <w:r w:rsidRPr="00883F6B">
          <w:rPr>
            <w:rFonts w:ascii="Times New Roman" w:eastAsia="Times New Roman" w:hAnsi="Times New Roman" w:cs="Times New Roman"/>
            <w:color w:val="642A8F"/>
            <w:sz w:val="24"/>
            <w:szCs w:val="24"/>
            <w:u w:val="single"/>
            <w:lang w:eastAsia="en-GB"/>
          </w:rPr>
          <w:t>Barnett et al., 2006</w:t>
        </w:r>
      </w:hyperlink>
      <w:r w:rsidRPr="00883F6B">
        <w:rPr>
          <w:rFonts w:ascii="Times New Roman" w:eastAsia="Times New Roman" w:hAnsi="Times New Roman" w:cs="Times New Roman"/>
          <w:color w:val="000000"/>
          <w:sz w:val="24"/>
          <w:szCs w:val="24"/>
          <w:lang w:eastAsia="en-GB"/>
        </w:rPr>
        <w:t>). While the passive model of cognitive reserve concerns individual differences in brain structure (e.g. brain volume or neuron density), the active model considers differences in the functionality of brain processing. Active cognitive reserve can be measured by performance in intelligence tests, educational and occupational attainment, etc. We found that risk of schizophrenia was not restricted to the lower end of the intelligence spectrum. Rather, we observed strong evidence for a linear association, whereby those with average IQ were at significantly increased risk of developing schizophrenia than those with higher IQ (</w:t>
      </w:r>
      <w:hyperlink r:id="rId107" w:tgtFrame="figure" w:history="1">
        <w:r w:rsidRPr="00883F6B">
          <w:rPr>
            <w:rFonts w:ascii="Times New Roman" w:eastAsia="Times New Roman" w:hAnsi="Times New Roman" w:cs="Times New Roman"/>
            <w:color w:val="642A8F"/>
            <w:sz w:val="24"/>
            <w:szCs w:val="24"/>
            <w:u w:val="single"/>
            <w:lang w:eastAsia="en-GB"/>
          </w:rPr>
          <w:t>Fig. 2</w:t>
        </w:r>
      </w:hyperlink>
      <w:r w:rsidRPr="00883F6B">
        <w:rPr>
          <w:rFonts w:ascii="Times New Roman" w:eastAsia="Times New Roman" w:hAnsi="Times New Roman" w:cs="Times New Roman"/>
          <w:color w:val="000000"/>
          <w:sz w:val="24"/>
          <w:szCs w:val="24"/>
          <w:lang w:eastAsia="en-GB"/>
        </w:rPr>
        <w:t>). This suggests cognitive reserve may be an active process in schizophrenia, and its protective effects may operate throughout the range of intelligence spectrum.</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Our results certainly support the view that schizophrenia includes an element of abnormal neurodevelopment with phenotypic expression starting very early in life (</w:t>
      </w:r>
      <w:hyperlink r:id="rId108" w:anchor="bb0125" w:history="1">
        <w:r w:rsidRPr="00883F6B">
          <w:rPr>
            <w:rFonts w:ascii="Times New Roman" w:eastAsia="Times New Roman" w:hAnsi="Times New Roman" w:cs="Times New Roman"/>
            <w:color w:val="642A8F"/>
            <w:sz w:val="24"/>
            <w:szCs w:val="24"/>
            <w:u w:val="single"/>
            <w:lang w:eastAsia="en-GB"/>
          </w:rPr>
          <w:t>Murray and Lewis, 1987; Weinberger, 1987; Jones et al., 1994</w:t>
        </w:r>
      </w:hyperlink>
      <w:r w:rsidRPr="00883F6B">
        <w:rPr>
          <w:rFonts w:ascii="Times New Roman" w:eastAsia="Times New Roman" w:hAnsi="Times New Roman" w:cs="Times New Roman"/>
          <w:color w:val="000000"/>
          <w:sz w:val="24"/>
          <w:szCs w:val="24"/>
          <w:lang w:eastAsia="en-GB"/>
        </w:rPr>
        <w:t>). The existence of two approximately linear relationships, where lower premorbid IQ is associated with both increased risk and earlier onset of schizophrenia, suggests a gradient of neurodevelopmental impairment where the relationship between position on the distribution of cognitive ability and frequency of schizophrenia is similar to that between, e.g., blood pressure and stroke (</w:t>
      </w:r>
      <w:hyperlink r:id="rId109" w:anchor="bb0095" w:history="1">
        <w:r w:rsidRPr="00883F6B">
          <w:rPr>
            <w:rFonts w:ascii="Times New Roman" w:eastAsia="Times New Roman" w:hAnsi="Times New Roman" w:cs="Times New Roman"/>
            <w:color w:val="642A8F"/>
            <w:sz w:val="24"/>
            <w:szCs w:val="24"/>
            <w:u w:val="single"/>
            <w:lang w:eastAsia="en-GB"/>
          </w:rPr>
          <w:t>Jones et al., 1994</w:t>
        </w:r>
      </w:hyperlink>
      <w:r w:rsidRPr="00883F6B">
        <w:rPr>
          <w:rFonts w:ascii="Times New Roman" w:eastAsia="Times New Roman" w:hAnsi="Times New Roman" w:cs="Times New Roman"/>
          <w:color w:val="000000"/>
          <w:sz w:val="24"/>
          <w:szCs w:val="24"/>
          <w:lang w:eastAsia="en-GB"/>
        </w:rPr>
        <w:t>). These findings fit the model of psychosis as a continuum (</w:t>
      </w:r>
      <w:hyperlink r:id="rId110" w:anchor="bb0195" w:history="1">
        <w:r w:rsidRPr="00883F6B">
          <w:rPr>
            <w:rFonts w:ascii="Times New Roman" w:eastAsia="Times New Roman" w:hAnsi="Times New Roman" w:cs="Times New Roman"/>
            <w:color w:val="642A8F"/>
            <w:sz w:val="24"/>
            <w:szCs w:val="24"/>
            <w:u w:val="single"/>
            <w:lang w:eastAsia="en-GB"/>
          </w:rPr>
          <w:t>van Os et al., 2009</w:t>
        </w:r>
      </w:hyperlink>
      <w:r w:rsidRPr="00883F6B">
        <w:rPr>
          <w:rFonts w:ascii="Times New Roman" w:eastAsia="Times New Roman" w:hAnsi="Times New Roman" w:cs="Times New Roman"/>
          <w:color w:val="000000"/>
          <w:sz w:val="24"/>
          <w:szCs w:val="24"/>
          <w:lang w:eastAsia="en-GB"/>
        </w:rPr>
        <w:t xml:space="preserve">), where the association between IQ and </w:t>
      </w:r>
      <w:r w:rsidRPr="00883F6B">
        <w:rPr>
          <w:rFonts w:ascii="Times New Roman" w:eastAsia="Times New Roman" w:hAnsi="Times New Roman" w:cs="Times New Roman"/>
          <w:color w:val="000000"/>
          <w:sz w:val="24"/>
          <w:szCs w:val="24"/>
          <w:lang w:eastAsia="en-GB"/>
        </w:rPr>
        <w:lastRenderedPageBreak/>
        <w:t>psychotic-like experiences extends beyond schizophrenia. The same spectrum of neurodevelopmental impairment that is seen in schizophrenia may also underlie results from general population studies, where childhood IQ is also associated with risk for adult (</w:t>
      </w:r>
      <w:hyperlink r:id="rId111" w:anchor="bb0105" w:history="1">
        <w:r w:rsidRPr="00883F6B">
          <w:rPr>
            <w:rFonts w:ascii="Times New Roman" w:eastAsia="Times New Roman" w:hAnsi="Times New Roman" w:cs="Times New Roman"/>
            <w:color w:val="642A8F"/>
            <w:sz w:val="24"/>
            <w:szCs w:val="24"/>
            <w:u w:val="single"/>
            <w:lang w:eastAsia="en-GB"/>
          </w:rPr>
          <w:t>Kremen et al., 1998</w:t>
        </w:r>
      </w:hyperlink>
      <w:r w:rsidRPr="00883F6B">
        <w:rPr>
          <w:rFonts w:ascii="Times New Roman" w:eastAsia="Times New Roman" w:hAnsi="Times New Roman" w:cs="Times New Roman"/>
          <w:color w:val="000000"/>
          <w:sz w:val="24"/>
          <w:szCs w:val="24"/>
          <w:lang w:eastAsia="en-GB"/>
        </w:rPr>
        <w:t>) and childhood (</w:t>
      </w:r>
      <w:hyperlink r:id="rId112" w:anchor="bb0085" w:history="1">
        <w:r w:rsidRPr="00883F6B">
          <w:rPr>
            <w:rFonts w:ascii="Times New Roman" w:eastAsia="Times New Roman" w:hAnsi="Times New Roman" w:cs="Times New Roman"/>
            <w:color w:val="642A8F"/>
            <w:sz w:val="24"/>
            <w:szCs w:val="24"/>
            <w:u w:val="single"/>
            <w:lang w:eastAsia="en-GB"/>
          </w:rPr>
          <w:t>Horwood et al., 2008</w:t>
        </w:r>
      </w:hyperlink>
      <w:r w:rsidRPr="00883F6B">
        <w:rPr>
          <w:rFonts w:ascii="Times New Roman" w:eastAsia="Times New Roman" w:hAnsi="Times New Roman" w:cs="Times New Roman"/>
          <w:color w:val="000000"/>
          <w:sz w:val="24"/>
          <w:szCs w:val="24"/>
          <w:lang w:eastAsia="en-GB"/>
        </w:rPr>
        <w:t>) non-clinical psychotic symptoms. Neuroimaging studies based on a Finnish birth cohort showed that developmental failure to establish anatomical connectivity in premotor cortex, and abnormal integration of fronto-cerebellar-thalamic circuits may underlie both delayed infant motor development and adult cognitive dysfunction in schizophrenia (</w:t>
      </w:r>
      <w:hyperlink r:id="rId113" w:anchor="bb0165" w:history="1">
        <w:r w:rsidRPr="00883F6B">
          <w:rPr>
            <w:rFonts w:ascii="Times New Roman" w:eastAsia="Times New Roman" w:hAnsi="Times New Roman" w:cs="Times New Roman"/>
            <w:color w:val="642A8F"/>
            <w:sz w:val="24"/>
            <w:szCs w:val="24"/>
            <w:u w:val="single"/>
            <w:lang w:eastAsia="en-GB"/>
          </w:rPr>
          <w:t>Ridler et al., 2006</w:t>
        </w:r>
      </w:hyperlink>
      <w:r w:rsidRPr="00883F6B">
        <w:rPr>
          <w:rFonts w:ascii="Times New Roman" w:eastAsia="Times New Roman" w:hAnsi="Times New Roman" w:cs="Times New Roman"/>
          <w:color w:val="000000"/>
          <w:sz w:val="24"/>
          <w:szCs w:val="24"/>
          <w:lang w:eastAsia="en-GB"/>
        </w:rPr>
        <w:t>), suggesting that lower IQ in this context, before and after the onset of disorder, is a marker of abnormal connectivity implicated in the disorder. Thus, lower premorbid IQ might reflect the underlying neurodevelopmental abnormality, which in some individuals leads to the development of psychotic symptoms, alone or in combination of other genetic and environmental factors.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On the whole, the studies reviewed here represent a major advance in methodology of studies of schizophrenia epidemiology. However, future studies on this topic should also include repeat measures of IQ on same individuals using adequate samples; address the question as to whether the deficit is a general one involving the concept of ‘G’ or whether specific sub-function(s) of cognition are uniquely involved. Furthermore, the determinants of the IQ distribution and normal neurodevelopment may conceal important aspects of the genesis of later neuropsychiatric disorders such as schizophrenia. The triangulation of cognitive epidemiological data with neuroimaging and other neuroscience disciplines would help to elucidate underlying such pathological processes.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The following are the supplementary materials related to this article.</w:t>
      </w:r>
    </w:p>
    <w:p w:rsidR="00883F6B" w:rsidRPr="00883F6B" w:rsidRDefault="00883F6B" w:rsidP="00883F6B">
      <w:pPr>
        <w:shd w:val="clear" w:color="auto" w:fill="FFFCF0"/>
        <w:spacing w:after="0"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b/>
          <w:bCs/>
          <w:color w:val="000000"/>
          <w:sz w:val="24"/>
          <w:szCs w:val="24"/>
          <w:lang w:eastAsia="en-GB"/>
        </w:rPr>
        <w:t>Data extraction:</w:t>
      </w:r>
    </w:p>
    <w:p w:rsidR="00883F6B" w:rsidRPr="00883F6B" w:rsidRDefault="00694C4A" w:rsidP="00883F6B">
      <w:pPr>
        <w:shd w:val="clear" w:color="auto" w:fill="FFFCF0"/>
        <w:spacing w:before="166" w:after="166" w:line="240" w:lineRule="auto"/>
        <w:rPr>
          <w:rFonts w:ascii="Times New Roman" w:eastAsia="Times New Roman" w:hAnsi="Times New Roman" w:cs="Times New Roman"/>
          <w:color w:val="000000"/>
          <w:sz w:val="24"/>
          <w:szCs w:val="24"/>
          <w:lang w:eastAsia="en-GB"/>
        </w:rPr>
      </w:pPr>
      <w:hyperlink r:id="rId114" w:anchor="bb0135" w:history="1">
        <w:r w:rsidR="00883F6B" w:rsidRPr="00883F6B">
          <w:rPr>
            <w:rFonts w:ascii="Times New Roman" w:eastAsia="Times New Roman" w:hAnsi="Times New Roman" w:cs="Times New Roman"/>
            <w:color w:val="642A8F"/>
            <w:sz w:val="24"/>
            <w:szCs w:val="24"/>
            <w:u w:val="single"/>
            <w:lang w:eastAsia="en-GB"/>
          </w:rPr>
          <w:t>Niendam et al. (2003)</w:t>
        </w:r>
      </w:hyperlink>
      <w:r w:rsidR="00883F6B" w:rsidRPr="00883F6B">
        <w:rPr>
          <w:rFonts w:ascii="Times New Roman" w:eastAsia="Times New Roman" w:hAnsi="Times New Roman" w:cs="Times New Roman"/>
          <w:color w:val="000000"/>
          <w:sz w:val="24"/>
          <w:szCs w:val="24"/>
          <w:lang w:eastAsia="en-GB"/>
        </w:rPr>
        <w:t> reported individual subtest scores of the Wechsler Intelligence Scale for Children (WISC) for a subgroup of a larger cohort. </w:t>
      </w:r>
      <w:hyperlink r:id="rId115" w:anchor="bb0030" w:history="1">
        <w:r w:rsidR="00883F6B" w:rsidRPr="00883F6B">
          <w:rPr>
            <w:rFonts w:ascii="Times New Roman" w:eastAsia="Times New Roman" w:hAnsi="Times New Roman" w:cs="Times New Roman"/>
            <w:color w:val="642A8F"/>
            <w:sz w:val="24"/>
            <w:szCs w:val="24"/>
            <w:u w:val="single"/>
            <w:lang w:eastAsia="en-GB"/>
          </w:rPr>
          <w:t>Cannon et al. (2000)</w:t>
        </w:r>
      </w:hyperlink>
      <w:r w:rsidR="00883F6B" w:rsidRPr="00883F6B">
        <w:rPr>
          <w:rFonts w:ascii="Times New Roman" w:eastAsia="Times New Roman" w:hAnsi="Times New Roman" w:cs="Times New Roman"/>
          <w:color w:val="000000"/>
          <w:sz w:val="24"/>
          <w:szCs w:val="24"/>
          <w:lang w:eastAsia="en-GB"/>
        </w:rPr>
        <w:t> previously reported only the full scale IQ for that cohort. We used the larger sample in full-scale IQ analysis, and selected the Vocabulary and Block Design subtests for verbal and performance IQ analyses, respectively. </w:t>
      </w:r>
      <w:hyperlink r:id="rId116" w:anchor="bb0035" w:history="1">
        <w:r w:rsidR="00883F6B" w:rsidRPr="00883F6B">
          <w:rPr>
            <w:rFonts w:ascii="Times New Roman" w:eastAsia="Times New Roman" w:hAnsi="Times New Roman" w:cs="Times New Roman"/>
            <w:color w:val="642A8F"/>
            <w:sz w:val="24"/>
            <w:szCs w:val="24"/>
            <w:u w:val="single"/>
            <w:lang w:eastAsia="en-GB"/>
          </w:rPr>
          <w:t>Cannon et al. (2002)</w:t>
        </w:r>
      </w:hyperlink>
      <w:r w:rsidR="00883F6B" w:rsidRPr="00883F6B">
        <w:rPr>
          <w:rFonts w:ascii="Times New Roman" w:eastAsia="Times New Roman" w:hAnsi="Times New Roman" w:cs="Times New Roman"/>
          <w:color w:val="000000"/>
          <w:sz w:val="24"/>
          <w:szCs w:val="24"/>
          <w:lang w:eastAsia="en-GB"/>
        </w:rPr>
        <w:t> reported a 26 year follow up of the Dunedin birth cohort which included 33 cases of schizophreniform disorder. We used premorbid verbal and performance IQ measures (WISC-R) at age 7 years from that study. However, in the analysis of full scale IQ we used 32 year follow up data, which included full scale IQ (WISC-R) averaged across testing ages 7, 9, 11 and 13 years, in 35 cases of schizophreniform disorder and 583 healthy controls (personal communication; Prof. T. Moffitt).</w:t>
      </w:r>
    </w:p>
    <w:p w:rsidR="00883F6B" w:rsidRPr="00883F6B" w:rsidRDefault="00694C4A" w:rsidP="00883F6B">
      <w:pPr>
        <w:shd w:val="clear" w:color="auto" w:fill="FFFCF0"/>
        <w:spacing w:line="240" w:lineRule="auto"/>
        <w:rPr>
          <w:rFonts w:ascii="Times New Roman" w:eastAsia="Times New Roman" w:hAnsi="Times New Roman" w:cs="Times New Roman"/>
          <w:color w:val="000000"/>
          <w:sz w:val="24"/>
          <w:szCs w:val="24"/>
          <w:lang w:eastAsia="en-GB"/>
        </w:rPr>
      </w:pPr>
      <w:hyperlink r:id="rId117" w:history="1">
        <w:r w:rsidR="00883F6B" w:rsidRPr="00883F6B">
          <w:rPr>
            <w:rFonts w:ascii="Times New Roman" w:eastAsia="Times New Roman" w:hAnsi="Times New Roman" w:cs="Times New Roman"/>
            <w:color w:val="642A8F"/>
            <w:sz w:val="24"/>
            <w:szCs w:val="24"/>
            <w:u w:val="single"/>
            <w:lang w:eastAsia="en-GB"/>
          </w:rPr>
          <w:t>Click here to view.</w:t>
        </w:r>
      </w:hyperlink>
      <w:r w:rsidR="00883F6B" w:rsidRPr="00883F6B">
        <w:rPr>
          <w:rFonts w:ascii="Times New Roman" w:eastAsia="Times New Roman" w:hAnsi="Times New Roman" w:cs="Times New Roman"/>
          <w:color w:val="000000"/>
          <w:sz w:val="20"/>
          <w:szCs w:val="20"/>
          <w:vertAlign w:val="superscript"/>
          <w:lang w:eastAsia="en-GB"/>
        </w:rPr>
        <w:t>(20K, doc)</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118"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Role of funding source</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Golam Khandaker is supported by a grant from the Wellcome Trust (Clinical PhD Programme, grant number 094790/Z/10/Z). Peter Jones is also supported by the Wellcome Trust (095844/Z/11/Z &amp; 088869/Z/09/Z) and NIHR (RP-PG-0606-1335). The funding organizations had no further role in study design; in the collection, analysis and interpretation of data; in the writing of the report; and in the decision to submit the paper for publication.</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119"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Contributors</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Golam Khandaker carried out literature search, analysis and wrote the first draft of the manuscript. Jenny Barnett and Ian White contributed to the analysis and revision of manuscript. Peter Jones conceived the study, contributed to manuscript and provided overall supervision for the project. All authors contributed to and have approved the final manuscript.</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120"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Declaration of interest</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Golam Khandaker and Ian White report no competing interest. Jenny Barnett is an employee of Cambridge Cognition Ltd. Jenny Barnett and Peter Jones are co-inventors on patent PCT/GB2005/003279 (methods for assessing psychotic disorders). Peter Jones has received research support from GlaxoSmithKline, and directs the National Institute for Health Research Collaborations for Leadership in Applied Health Research and Care for Cambridgeshire and Peterborough.</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121"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Acknowledgment</w:t>
      </w:r>
    </w:p>
    <w:p w:rsidR="00883F6B" w:rsidRPr="00883F6B" w:rsidRDefault="00883F6B" w:rsidP="00883F6B">
      <w:pPr>
        <w:shd w:val="clear" w:color="auto" w:fill="FFFFFF"/>
        <w:spacing w:before="166"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We thank Professor Terrie Moffit, Drs. Mary Cannon, John Done, Finn Rasmussen, Avi Reichenberg, Nick Walker and Stan Zammit for sending additional data for the meta-analyses. We also thank Professors David Gunnell and Lawrence Whalley for their assistance in data search.</w:t>
      </w:r>
    </w:p>
    <w:p w:rsidR="00883F6B" w:rsidRPr="00883F6B" w:rsidRDefault="00694C4A" w:rsidP="00883F6B">
      <w:pPr>
        <w:shd w:val="clear" w:color="auto" w:fill="FFFFFF"/>
        <w:spacing w:after="0" w:line="240" w:lineRule="auto"/>
        <w:jc w:val="right"/>
        <w:rPr>
          <w:rFonts w:ascii="Arial" w:eastAsia="Times New Roman" w:hAnsi="Arial" w:cs="Arial"/>
          <w:color w:val="000000"/>
          <w:sz w:val="24"/>
          <w:szCs w:val="24"/>
          <w:lang w:eastAsia="en-GB"/>
        </w:rPr>
      </w:pPr>
      <w:hyperlink r:id="rId122" w:tooltip="Go to other sections in this page" w:history="1">
        <w:r w:rsidR="00883F6B" w:rsidRPr="00883F6B">
          <w:rPr>
            <w:rFonts w:ascii="Arial" w:eastAsia="Times New Roman" w:hAnsi="Arial" w:cs="Arial"/>
            <w:color w:val="642A8F"/>
            <w:sz w:val="24"/>
            <w:szCs w:val="24"/>
            <w:u w:val="single"/>
            <w:lang w:eastAsia="en-GB"/>
          </w:rPr>
          <w:t>Go to:</w:t>
        </w:r>
      </w:hyperlink>
    </w:p>
    <w:p w:rsidR="00883F6B" w:rsidRPr="00883F6B" w:rsidRDefault="00883F6B" w:rsidP="00883F6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lang w:eastAsia="en-GB"/>
        </w:rPr>
      </w:pPr>
      <w:r w:rsidRPr="00883F6B">
        <w:rPr>
          <w:rFonts w:ascii="Arial" w:eastAsia="Times New Roman" w:hAnsi="Arial" w:cs="Arial"/>
          <w:color w:val="985735"/>
          <w:sz w:val="27"/>
          <w:szCs w:val="27"/>
          <w:lang w:eastAsia="en-GB"/>
        </w:rPr>
        <w:t>References</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Altman D.G., Bland J.M. Interaction revisited: the difference between two estimates. BMJ. 2003;326(7382):219. [</w:t>
      </w:r>
      <w:hyperlink r:id="rId123" w:history="1">
        <w:r w:rsidRPr="00883F6B">
          <w:rPr>
            <w:rFonts w:ascii="Times New Roman" w:eastAsia="Times New Roman" w:hAnsi="Times New Roman" w:cs="Times New Roman"/>
            <w:color w:val="642A8F"/>
            <w:sz w:val="24"/>
            <w:szCs w:val="24"/>
            <w:u w:val="single"/>
            <w:lang w:eastAsia="en-GB"/>
          </w:rPr>
          <w:t>PMC free article</w:t>
        </w:r>
      </w:hyperlink>
      <w:r w:rsidRPr="00883F6B">
        <w:rPr>
          <w:rFonts w:ascii="Times New Roman" w:eastAsia="Times New Roman" w:hAnsi="Times New Roman" w:cs="Times New Roman"/>
          <w:color w:val="000000"/>
          <w:sz w:val="24"/>
          <w:szCs w:val="24"/>
          <w:lang w:eastAsia="en-GB"/>
        </w:rPr>
        <w:t>] [</w:t>
      </w:r>
      <w:hyperlink r:id="rId124"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25"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Aylward E., Walker E., Bettes B. Intelligence in schizophrenia: meta-analysis of the research. Schizophr. Bull. 1984;10(3):430–459. [</w:t>
      </w:r>
      <w:hyperlink r:id="rId126"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27"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Barnett J.H., Salmond C.H., Jones P.B., Sahakian B.J. Cognitive reserve in neuropsychiatry. Psychol. Med. 2006;36(8):1053–1064. [</w:t>
      </w:r>
      <w:hyperlink r:id="rId128"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29"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Belenky M., Tarule J., Goldberger N. Basic Books; New York: 1986. Women's Ways of Knowing. [</w:t>
      </w:r>
      <w:hyperlink r:id="rId130"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Brewer W.J., Francey S.M., Wood S.J., Jackson H.J., Pantelis C., Phillips L.J., Yung A.R., Anderson V.A., McGorry P.D. Memory impairments identified in people at ultra-high risk for psychosis who later develop first-episode psychosis. Am. J. Psychiatry. 2005;162(1):71–78. [</w:t>
      </w:r>
      <w:hyperlink r:id="rId131"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32"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lastRenderedPageBreak/>
        <w:t>Cannon T.D., Bearden C.E., Hollister J.M., Rosso I.M., Sanchez L.E., Hadley T. Childhood cognitive functioning in schizophrenia patients and their unaffected siblings: a prospective cohort study. Schizophr. Bull. 2000;26(2):379–393. [</w:t>
      </w:r>
      <w:hyperlink r:id="rId133"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34"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Cannon M., Caspi A., Moffitt T.E., Harrington H., Taylor A., Murray R.M., Poulton R. Evidence for early-childhood, pan-developmental impairment specific to schizophreniform disorder: results from a longitudinal birth cohort. Arch. Gen. Psychiatry. 2002;59(5):449–456. [</w:t>
      </w:r>
      <w:hyperlink r:id="rId135"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36"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Caspi A., Reichenberg A., Weiser M., Rabinowitz J., Kaplan Z., Knobler H., Davidson-Sagi N., Davidson M. Cognitive performance in schizophrenia patients assessed before and following the first psychotic episode. Schizophr. Res. 2003;65(2–3):87–94. [</w:t>
      </w:r>
      <w:hyperlink r:id="rId137"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38"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Crow T.J., Done D.J., Sacker A. Childhood precursors of psychosis as clues to its evolutionary origins. Eur. Arch. Psychiatry Clin. Neurosci. 1995;245(2):61–69. [</w:t>
      </w:r>
      <w:hyperlink r:id="rId139"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40"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David A.S., Malmberg A., Brandt L., Allebeck P., Lewis G. IQ and risk for schizophrenia: a population-based cohort study. Psychol. Med. 1997;27(6):1311–1323. [</w:t>
      </w:r>
      <w:hyperlink r:id="rId141"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42"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Dean K., Bramon E., Murray R.M. The causes of schizophrenia: neurodevelopment and other risk factors. J. Psychiatr. Pract. 2003;9(6):442–454. [</w:t>
      </w:r>
      <w:hyperlink r:id="rId143"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44"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Egger M., Davey Smith G., Schneider M., Minder C. Bias in meta-analysis detected by a simple, graphical test. BMJ. 1997;315(7109):629–634. [</w:t>
      </w:r>
      <w:hyperlink r:id="rId145" w:history="1">
        <w:r w:rsidRPr="00883F6B">
          <w:rPr>
            <w:rFonts w:ascii="Times New Roman" w:eastAsia="Times New Roman" w:hAnsi="Times New Roman" w:cs="Times New Roman"/>
            <w:color w:val="642A8F"/>
            <w:sz w:val="24"/>
            <w:szCs w:val="24"/>
            <w:u w:val="single"/>
            <w:lang w:eastAsia="en-GB"/>
          </w:rPr>
          <w:t>PMC free article</w:t>
        </w:r>
      </w:hyperlink>
      <w:r w:rsidRPr="00883F6B">
        <w:rPr>
          <w:rFonts w:ascii="Times New Roman" w:eastAsia="Times New Roman" w:hAnsi="Times New Roman" w:cs="Times New Roman"/>
          <w:color w:val="000000"/>
          <w:sz w:val="24"/>
          <w:szCs w:val="24"/>
          <w:lang w:eastAsia="en-GB"/>
        </w:rPr>
        <w:t>] [</w:t>
      </w:r>
      <w:hyperlink r:id="rId146"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47"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Egger M., Smith D.G., Altman D.G. BMJ; London: 2001. Systematic Reviews in Health Care: Meta-Analysis in Context. [</w:t>
      </w:r>
      <w:hyperlink r:id="rId148"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Gottesman I.I., Sheilds J. Cambridge University Press; New York: 1982. Schizophrenia: the Epigenetic Puzzle. [</w:t>
      </w:r>
      <w:hyperlink r:id="rId149"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Gunnell D., Harrison G., Rasmussen F., Fouskakis D., Tynelius P. Associations between premorbid intellectual performance, early-life exposures and early-onset schizophrenia. Cohort study. Br. J. Psychiatry. 2002;181:298–305. [</w:t>
      </w:r>
      <w:hyperlink r:id="rId150"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51"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Higgins J.P., Thompson S.G., Deeks J.J., Altman D.G. Measuring inconsistency in meta-analyses. BMJ. 2003;327(7414):557–560. [</w:t>
      </w:r>
      <w:hyperlink r:id="rId152" w:history="1">
        <w:r w:rsidRPr="00883F6B">
          <w:rPr>
            <w:rFonts w:ascii="Times New Roman" w:eastAsia="Times New Roman" w:hAnsi="Times New Roman" w:cs="Times New Roman"/>
            <w:color w:val="642A8F"/>
            <w:sz w:val="24"/>
            <w:szCs w:val="24"/>
            <w:u w:val="single"/>
            <w:lang w:eastAsia="en-GB"/>
          </w:rPr>
          <w:t>PMC free article</w:t>
        </w:r>
      </w:hyperlink>
      <w:r w:rsidRPr="00883F6B">
        <w:rPr>
          <w:rFonts w:ascii="Times New Roman" w:eastAsia="Times New Roman" w:hAnsi="Times New Roman" w:cs="Times New Roman"/>
          <w:color w:val="000000"/>
          <w:sz w:val="24"/>
          <w:szCs w:val="24"/>
          <w:lang w:eastAsia="en-GB"/>
        </w:rPr>
        <w:t>] [</w:t>
      </w:r>
      <w:hyperlink r:id="rId153"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54"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Horwood J., Salvi G., Thomas K., Duffy L., Gunnell D., Hollis C., Lewis G., Menezes P., Thompson A., Wolke D., Zammit S., Harrison G. IQ and non-clinical psychotic symptoms in 12-year-olds: results from the ALSPAC birth cohort. Br. J. Psychiatry. 2008;193(3):185–191. [</w:t>
      </w:r>
      <w:hyperlink r:id="rId155" w:history="1">
        <w:r w:rsidRPr="00883F6B">
          <w:rPr>
            <w:rFonts w:ascii="Times New Roman" w:eastAsia="Times New Roman" w:hAnsi="Times New Roman" w:cs="Times New Roman"/>
            <w:color w:val="642A8F"/>
            <w:sz w:val="24"/>
            <w:szCs w:val="24"/>
            <w:u w:val="single"/>
            <w:lang w:eastAsia="en-GB"/>
          </w:rPr>
          <w:t>PMC free article</w:t>
        </w:r>
      </w:hyperlink>
      <w:r w:rsidRPr="00883F6B">
        <w:rPr>
          <w:rFonts w:ascii="Times New Roman" w:eastAsia="Times New Roman" w:hAnsi="Times New Roman" w:cs="Times New Roman"/>
          <w:color w:val="000000"/>
          <w:sz w:val="24"/>
          <w:szCs w:val="24"/>
          <w:lang w:eastAsia="en-GB"/>
        </w:rPr>
        <w:t>] [</w:t>
      </w:r>
      <w:hyperlink r:id="rId156"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57"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Ince P.G. Pathological correlates of late-onset dementia in a multicentre, community-based population in England and Wales. Lancet. 2001;357(9251):169–175. [</w:t>
      </w:r>
      <w:hyperlink r:id="rId158"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59"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Jones P., Rodgers B., Murray R., Marmot M. Child development risk factors for adult schizophrenia in the British 1946 birth cohort. Lancet. 1994;344(8934):1398–1402. [</w:t>
      </w:r>
      <w:hyperlink r:id="rId160"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61"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lastRenderedPageBreak/>
        <w:t>Kirkbride J.B., Fearon P., Morgan C., Dazzan P., Morgan K., Tarrant J., Lloyd T., Holloway J., Hutchinson G., Leff J.P., Mallett R.M., Harrison G.L., Murray R.M., Jones P.B. Heterogeneity in incidence rates of schizophrenia and other psychotic syndromes: findings from the 3-center AeSOP study. Arch. Gen. Psychiatry. 2006;63(3):250–258. [</w:t>
      </w:r>
      <w:hyperlink r:id="rId162"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63"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Kremen W.S., Buka S.L., Seidman L.J., Goldstein J.M., Koren D., Tsuang M.T. IQ decline during childhood and adult psychotic symptoms in a community sample: a 19-year longitudinal study. Am. J. Psychiatry. 1998;155(5):672–677. [</w:t>
      </w:r>
      <w:hyperlink r:id="rId164"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65"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Lencz T., Smith C.W., McLaughlin D., Auther A., Nakayama E., Hovey L., Cornblatt B.A. Generalized and specific neurocognitive deficits in prodromal schizophrenia. Biol. Psychiatry. 2006;59(9):863–871. [</w:t>
      </w:r>
      <w:hyperlink r:id="rId166"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67"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Lubin A., Gieseking C.F., Williams H.L. Direct measurement of cognitive deficit in schizophrenia. J. Consult. Psychol. 1962;26:139–143. [</w:t>
      </w:r>
      <w:hyperlink r:id="rId168"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69"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Mortensen E.L., Sorensen H.J., Jensen H.H., Reinisch J.M., Mednick S.A. IQ and mental disorder in young men. Br. J. Psychiatry. 2005;187:407–415. [</w:t>
      </w:r>
      <w:hyperlink r:id="rId170"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71"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Murray R.M., Lewis S.W. Is schizophrenia a neurodevelopmental disorder? Br. Med. J. (Clin. Res. Ed.) 1987;295(6600):681–682. [</w:t>
      </w:r>
      <w:hyperlink r:id="rId172" w:history="1">
        <w:r w:rsidRPr="00883F6B">
          <w:rPr>
            <w:rFonts w:ascii="Times New Roman" w:eastAsia="Times New Roman" w:hAnsi="Times New Roman" w:cs="Times New Roman"/>
            <w:color w:val="642A8F"/>
            <w:sz w:val="24"/>
            <w:szCs w:val="24"/>
            <w:u w:val="single"/>
            <w:lang w:eastAsia="en-GB"/>
          </w:rPr>
          <w:t>PMC free article</w:t>
        </w:r>
      </w:hyperlink>
      <w:r w:rsidRPr="00883F6B">
        <w:rPr>
          <w:rFonts w:ascii="Times New Roman" w:eastAsia="Times New Roman" w:hAnsi="Times New Roman" w:cs="Times New Roman"/>
          <w:color w:val="000000"/>
          <w:sz w:val="24"/>
          <w:szCs w:val="24"/>
          <w:lang w:eastAsia="en-GB"/>
        </w:rPr>
        <w:t>] [</w:t>
      </w:r>
      <w:hyperlink r:id="rId173"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74"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Murray R.M., O'Callaghan E., Castle D.J., Lewis S.W. A neurodevelopmental approach to the classification of schizophrenia. Schizophr. Bull. 1992;18(2):319–332. [</w:t>
      </w:r>
      <w:hyperlink r:id="rId175"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76"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Niendam T.A., Bearden C.E., Rosso I.M., Sanchez L.E., Hadley T., Nuechterlein K.H., Cannon T.D. A prospective study of childhood neurocognitive functioning in schizophrenic patients and their siblings. Am. J. Psychiatry. 2003;160(11):2060–2062. [</w:t>
      </w:r>
      <w:hyperlink r:id="rId177"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78"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Offord D.R., Cross L.A. Adult schizophrenia with scholastic failure or low IQ in childhood. A preliminary report. Arch. Gen. Psychiatry. 1971;24(5):431–436. [</w:t>
      </w:r>
      <w:hyperlink r:id="rId179"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80"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Osler M., Lawlor D.A., Nordentoft M. Cognitive function in childhood and early adulthood and hospital admission for schizophrenia and bipolar disorders in Danish men born in 1953. Schizophr. Res. 2007;92(1–3):132–141. [</w:t>
      </w:r>
      <w:hyperlink r:id="rId181"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82"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Pollack M. Comparison of childhood, adolescent, and adult schizophrenias. Etiologic significance of intellectual functioning. Arch. Gen. Psychiatry. 1960;2:652–660. [</w:t>
      </w:r>
      <w:hyperlink r:id="rId183"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84"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Rajji T.K., Ismail Z., Mulsant B.H. Age at onset and cognition in schizophrenia: meta-analysis. Br. J. Psychiatry. 2009;195(4):286–293. [</w:t>
      </w:r>
      <w:hyperlink r:id="rId185"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86"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Reichenberg A., Weiser M., Rapp M.A., Rabinowitz J., Caspi A., Schmeidler J., Knobler H.Y., Lubin G., Nahon D., Harvey P.D., Davidson M. Elaboration on premorbid intellectual performance in schizophrenia: premorbid intellectual decline and risk for schizophrenia. Arch. Gen. Psychiatry. 2005;62(12):1297–1304. [</w:t>
      </w:r>
      <w:hyperlink r:id="rId187"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88"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 xml:space="preserve">Ridler K., Veijola J.M., Tanskanen P., Miettunen J., Chitnis X., Suckling J., Murray G.K., Haapea M., Jones P.B., Isohanni M.K., Bullmore E.T. Fronto-cerebellar systems are associated with infant motor and adult executive functions in healthy adults but not in schizophrenia. Proc. </w:t>
      </w:r>
      <w:r w:rsidRPr="00883F6B">
        <w:rPr>
          <w:rFonts w:ascii="Times New Roman" w:eastAsia="Times New Roman" w:hAnsi="Times New Roman" w:cs="Times New Roman"/>
          <w:color w:val="000000"/>
          <w:sz w:val="24"/>
          <w:szCs w:val="24"/>
          <w:lang w:eastAsia="en-GB"/>
        </w:rPr>
        <w:lastRenderedPageBreak/>
        <w:t>Natl. Acad. Sci. U. S. A. 2006;103(42):15651–15656. [</w:t>
      </w:r>
      <w:hyperlink r:id="rId189" w:history="1">
        <w:r w:rsidRPr="00883F6B">
          <w:rPr>
            <w:rFonts w:ascii="Times New Roman" w:eastAsia="Times New Roman" w:hAnsi="Times New Roman" w:cs="Times New Roman"/>
            <w:color w:val="642A8F"/>
            <w:sz w:val="24"/>
            <w:szCs w:val="24"/>
            <w:u w:val="single"/>
            <w:lang w:eastAsia="en-GB"/>
          </w:rPr>
          <w:t>PMC free article</w:t>
        </w:r>
      </w:hyperlink>
      <w:r w:rsidRPr="00883F6B">
        <w:rPr>
          <w:rFonts w:ascii="Times New Roman" w:eastAsia="Times New Roman" w:hAnsi="Times New Roman" w:cs="Times New Roman"/>
          <w:color w:val="000000"/>
          <w:sz w:val="24"/>
          <w:szCs w:val="24"/>
          <w:lang w:eastAsia="en-GB"/>
        </w:rPr>
        <w:t>] [</w:t>
      </w:r>
      <w:hyperlink r:id="rId190"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91"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Seidman L.J., Buka S.L., Goldstein J.M., Tsuang M.T. Intellectual decline in schizophrenia: evidence from a prospective birth cohort 28 year follow-up study. J. Clin. Exp. Neuropsychol. 2006;28(2):225–242. [</w:t>
      </w:r>
      <w:hyperlink r:id="rId192"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93"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Stern Y. What is cognitive reserve? Theory and research application of the reserve concept. J. Int. Neuropsychol. Soc. 2002;8(3):448–460. [</w:t>
      </w:r>
      <w:hyperlink r:id="rId194"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95"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Thompson S.G., Higgins J.P. Treating individuals 4: can meta-analysis help target interventions at individuals most likely to benefit? Lancet. 2005;365(9456):341–346. [</w:t>
      </w:r>
      <w:hyperlink r:id="rId196"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97"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Tiihonen J., Haukka J., Henriksson M., Cannon M., Kieseppa T., Laaksonen I., Sinivuo J., Lonnqvist J. Premorbid intellectual functioning in bipolar disorder and schizophrenia: results from a cohort study of male conscripts. Am. J. Psychiatry. 2005;162(10):1904–1910. [</w:t>
      </w:r>
      <w:hyperlink r:id="rId198"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199"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Urfer-Parnas A., Lykke Mortensen E., Saebye D., Parnas J. Pre-morbid IQ in mental disorders: a Danish draft-board study of 7486 psychiatric patients. Psychol. Med. 2010;40(4):547–556. [</w:t>
      </w:r>
      <w:hyperlink r:id="rId200"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201"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van Os J., Linscott R.J., Myin-Germeys I., Delespaul P., Krabbendam L. A systematic review and meta-analysis of the psychosis continuum: evidence for a psychosis proneness-persistence-impairment model of psychotic disorder. Psychol. Med. 2009;39(2):179–195. [</w:t>
      </w:r>
      <w:hyperlink r:id="rId202"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203"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Walker N.P., McConville P.M., Hunter D., Deary I.J., Whalley L.J. Childhood mental ability and lifetime psychiatric contact: a 66 year follow-up study of the 1932 Scottish Mental Ability Survey. Intelligence. 2002;30:233–245. [</w:t>
      </w:r>
      <w:hyperlink r:id="rId204"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Weinberger D.R. Implications of normal brain development for the pathogenesis of schizophrenia. Arch. Gen. Psychiatry. 1987;44(7):660–669. [</w:t>
      </w:r>
      <w:hyperlink r:id="rId205"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206"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Weinberger D.R. From neuropathology to neurodevelopment. Lancet. 1995;346(8974):552–557. [</w:t>
      </w:r>
      <w:hyperlink r:id="rId207"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208"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White I.R. Multivariate random-effect meta-analysis. Stata J. 2008;9(1):40–56. [</w:t>
      </w:r>
      <w:hyperlink r:id="rId209"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Woodberry K.A., Giuliano A.J., Seidman L.J. Premorbid IQ in schizophrenia: a meta-analytic review. Am. J. Psychiatry. 2008;165(5):579–587. [</w:t>
      </w:r>
      <w:hyperlink r:id="rId210"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211"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Woods B.T. Is schizophrenia a progressive neurodevelopmental disorder? Toward a unitary pathogenetic mechanism. Am. J. Psychiatry. 1998;155:1661–1670. [</w:t>
      </w:r>
      <w:hyperlink r:id="rId212"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213"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883F6B" w:rsidRPr="00883F6B" w:rsidRDefault="00883F6B" w:rsidP="00883F6B">
      <w:pPr>
        <w:shd w:val="clear" w:color="auto" w:fill="FFFFFF"/>
        <w:spacing w:after="166" w:line="240" w:lineRule="auto"/>
        <w:rPr>
          <w:rFonts w:ascii="Times New Roman" w:eastAsia="Times New Roman" w:hAnsi="Times New Roman" w:cs="Times New Roman"/>
          <w:color w:val="000000"/>
          <w:sz w:val="24"/>
          <w:szCs w:val="24"/>
          <w:lang w:eastAsia="en-GB"/>
        </w:rPr>
      </w:pPr>
      <w:r w:rsidRPr="00883F6B">
        <w:rPr>
          <w:rFonts w:ascii="Times New Roman" w:eastAsia="Times New Roman" w:hAnsi="Times New Roman" w:cs="Times New Roman"/>
          <w:color w:val="000000"/>
          <w:sz w:val="24"/>
          <w:szCs w:val="24"/>
          <w:lang w:eastAsia="en-GB"/>
        </w:rPr>
        <w:t>Zammit S., Allebeck P., David A.S., Dalman C., Hemmingsson T., Lundberg I., Lewis G. A longitudinal study of premorbid IQ Score and risk of developing schizophrenia, bipolar disorder, severe depression, and other nonaffective psychoses. Arch. Gen. Psychiatry. 2004;61(4):354–360. [</w:t>
      </w:r>
      <w:hyperlink r:id="rId214" w:tgtFrame="pmc_ext" w:history="1">
        <w:r w:rsidRPr="00883F6B">
          <w:rPr>
            <w:rFonts w:ascii="Times New Roman" w:eastAsia="Times New Roman" w:hAnsi="Times New Roman" w:cs="Times New Roman"/>
            <w:color w:val="642A8F"/>
            <w:sz w:val="24"/>
            <w:szCs w:val="24"/>
            <w:u w:val="single"/>
            <w:lang w:eastAsia="en-GB"/>
          </w:rPr>
          <w:t>PubMed</w:t>
        </w:r>
      </w:hyperlink>
      <w:r w:rsidRPr="00883F6B">
        <w:rPr>
          <w:rFonts w:ascii="Times New Roman" w:eastAsia="Times New Roman" w:hAnsi="Times New Roman" w:cs="Times New Roman"/>
          <w:color w:val="000000"/>
          <w:sz w:val="24"/>
          <w:szCs w:val="24"/>
          <w:lang w:eastAsia="en-GB"/>
        </w:rPr>
        <w:t>] [</w:t>
      </w:r>
      <w:hyperlink r:id="rId215" w:tgtFrame="pmc_ext" w:history="1">
        <w:r w:rsidRPr="00883F6B">
          <w:rPr>
            <w:rFonts w:ascii="Times New Roman" w:eastAsia="Times New Roman" w:hAnsi="Times New Roman" w:cs="Times New Roman"/>
            <w:color w:val="642A8F"/>
            <w:sz w:val="24"/>
            <w:szCs w:val="24"/>
            <w:u w:val="single"/>
            <w:lang w:eastAsia="en-GB"/>
          </w:rPr>
          <w:t>Google Scholar</w:t>
        </w:r>
      </w:hyperlink>
      <w:r w:rsidRPr="00883F6B">
        <w:rPr>
          <w:rFonts w:ascii="Times New Roman" w:eastAsia="Times New Roman" w:hAnsi="Times New Roman" w:cs="Times New Roman"/>
          <w:color w:val="000000"/>
          <w:sz w:val="24"/>
          <w:szCs w:val="24"/>
          <w:lang w:eastAsia="en-GB"/>
        </w:rPr>
        <w:t>]</w:t>
      </w:r>
    </w:p>
    <w:p w:rsidR="00C65223" w:rsidRDefault="00C65223"/>
    <w:sectPr w:rsidR="00C65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F6B"/>
    <w:rsid w:val="00081E6D"/>
    <w:rsid w:val="00694C4A"/>
    <w:rsid w:val="00883F6B"/>
    <w:rsid w:val="00C652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AABD7D-8958-42D2-B5F8-4BCD89DD3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83F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83F6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883F6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F6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83F6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883F6B"/>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259071">
      <w:bodyDiv w:val="1"/>
      <w:marLeft w:val="0"/>
      <w:marRight w:val="0"/>
      <w:marTop w:val="0"/>
      <w:marBottom w:val="0"/>
      <w:divBdr>
        <w:top w:val="none" w:sz="0" w:space="0" w:color="auto"/>
        <w:left w:val="none" w:sz="0" w:space="0" w:color="auto"/>
        <w:bottom w:val="none" w:sz="0" w:space="0" w:color="auto"/>
        <w:right w:val="none" w:sz="0" w:space="0" w:color="auto"/>
      </w:divBdr>
      <w:divsChild>
        <w:div w:id="1851797410">
          <w:marLeft w:val="0"/>
          <w:marRight w:val="0"/>
          <w:marTop w:val="0"/>
          <w:marBottom w:val="166"/>
          <w:divBdr>
            <w:top w:val="none" w:sz="0" w:space="0" w:color="auto"/>
            <w:left w:val="none" w:sz="0" w:space="0" w:color="auto"/>
            <w:bottom w:val="none" w:sz="0" w:space="0" w:color="auto"/>
            <w:right w:val="none" w:sz="0" w:space="0" w:color="auto"/>
          </w:divBdr>
          <w:divsChild>
            <w:div w:id="442578518">
              <w:marLeft w:val="0"/>
              <w:marRight w:val="0"/>
              <w:marTop w:val="166"/>
              <w:marBottom w:val="166"/>
              <w:divBdr>
                <w:top w:val="none" w:sz="0" w:space="0" w:color="auto"/>
                <w:left w:val="none" w:sz="0" w:space="0" w:color="auto"/>
                <w:bottom w:val="none" w:sz="0" w:space="0" w:color="auto"/>
                <w:right w:val="none" w:sz="0" w:space="0" w:color="auto"/>
              </w:divBdr>
              <w:divsChild>
                <w:div w:id="219902434">
                  <w:marLeft w:val="0"/>
                  <w:marRight w:val="0"/>
                  <w:marTop w:val="0"/>
                  <w:marBottom w:val="0"/>
                  <w:divBdr>
                    <w:top w:val="none" w:sz="0" w:space="0" w:color="auto"/>
                    <w:left w:val="none" w:sz="0" w:space="0" w:color="auto"/>
                    <w:bottom w:val="none" w:sz="0" w:space="0" w:color="auto"/>
                    <w:right w:val="none" w:sz="0" w:space="0" w:color="auto"/>
                  </w:divBdr>
                </w:div>
              </w:divsChild>
            </w:div>
            <w:div w:id="290866665">
              <w:marLeft w:val="0"/>
              <w:marRight w:val="0"/>
              <w:marTop w:val="166"/>
              <w:marBottom w:val="166"/>
              <w:divBdr>
                <w:top w:val="none" w:sz="0" w:space="0" w:color="auto"/>
                <w:left w:val="none" w:sz="0" w:space="0" w:color="auto"/>
                <w:bottom w:val="none" w:sz="0" w:space="0" w:color="auto"/>
                <w:right w:val="none" w:sz="0" w:space="0" w:color="auto"/>
              </w:divBdr>
              <w:divsChild>
                <w:div w:id="453796027">
                  <w:marLeft w:val="0"/>
                  <w:marRight w:val="0"/>
                  <w:marTop w:val="0"/>
                  <w:marBottom w:val="0"/>
                  <w:divBdr>
                    <w:top w:val="none" w:sz="0" w:space="0" w:color="auto"/>
                    <w:left w:val="none" w:sz="0" w:space="0" w:color="auto"/>
                    <w:bottom w:val="none" w:sz="0" w:space="0" w:color="auto"/>
                    <w:right w:val="none" w:sz="0" w:space="0" w:color="auto"/>
                  </w:divBdr>
                </w:div>
              </w:divsChild>
            </w:div>
            <w:div w:id="795367146">
              <w:marLeft w:val="0"/>
              <w:marRight w:val="0"/>
              <w:marTop w:val="332"/>
              <w:marBottom w:val="332"/>
              <w:divBdr>
                <w:top w:val="single" w:sz="6" w:space="5" w:color="EAC3AF"/>
                <w:left w:val="single" w:sz="6" w:space="8" w:color="EAC3AF"/>
                <w:bottom w:val="single" w:sz="6" w:space="5" w:color="EAC3AF"/>
                <w:right w:val="single" w:sz="6" w:space="8" w:color="EAC3AF"/>
              </w:divBdr>
              <w:divsChild>
                <w:div w:id="2028673517">
                  <w:marLeft w:val="0"/>
                  <w:marRight w:val="0"/>
                  <w:marTop w:val="0"/>
                  <w:marBottom w:val="0"/>
                  <w:divBdr>
                    <w:top w:val="none" w:sz="0" w:space="0" w:color="auto"/>
                    <w:left w:val="none" w:sz="0" w:space="0" w:color="auto"/>
                    <w:bottom w:val="none" w:sz="0" w:space="0" w:color="auto"/>
                    <w:right w:val="none" w:sz="0" w:space="0" w:color="auto"/>
                  </w:divBdr>
                  <w:divsChild>
                    <w:div w:id="55701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463127">
          <w:marLeft w:val="0"/>
          <w:marRight w:val="0"/>
          <w:marTop w:val="332"/>
          <w:marBottom w:val="332"/>
          <w:divBdr>
            <w:top w:val="single" w:sz="18" w:space="0" w:color="639ACE"/>
            <w:left w:val="none" w:sz="0" w:space="0" w:color="auto"/>
            <w:bottom w:val="single" w:sz="18" w:space="17" w:color="639ACE"/>
            <w:right w:val="none" w:sz="0" w:space="0" w:color="auto"/>
          </w:divBdr>
        </w:div>
        <w:div w:id="1791586490">
          <w:marLeft w:val="0"/>
          <w:marRight w:val="0"/>
          <w:marTop w:val="0"/>
          <w:marBottom w:val="0"/>
          <w:divBdr>
            <w:top w:val="none" w:sz="0" w:space="0" w:color="auto"/>
            <w:left w:val="none" w:sz="0" w:space="0" w:color="auto"/>
            <w:bottom w:val="none" w:sz="0" w:space="0" w:color="auto"/>
            <w:right w:val="none" w:sz="0" w:space="0" w:color="auto"/>
          </w:divBdr>
          <w:divsChild>
            <w:div w:id="329990241">
              <w:marLeft w:val="0"/>
              <w:marRight w:val="0"/>
              <w:marTop w:val="0"/>
              <w:marBottom w:val="0"/>
              <w:divBdr>
                <w:top w:val="none" w:sz="0" w:space="0" w:color="auto"/>
                <w:left w:val="none" w:sz="0" w:space="0" w:color="auto"/>
                <w:bottom w:val="none" w:sz="0" w:space="0" w:color="auto"/>
                <w:right w:val="none" w:sz="0" w:space="0" w:color="auto"/>
              </w:divBdr>
            </w:div>
            <w:div w:id="1500384460">
              <w:marLeft w:val="0"/>
              <w:marRight w:val="0"/>
              <w:marTop w:val="0"/>
              <w:marBottom w:val="0"/>
              <w:divBdr>
                <w:top w:val="none" w:sz="0" w:space="0" w:color="auto"/>
                <w:left w:val="none" w:sz="0" w:space="0" w:color="auto"/>
                <w:bottom w:val="none" w:sz="0" w:space="0" w:color="auto"/>
                <w:right w:val="none" w:sz="0" w:space="0" w:color="auto"/>
              </w:divBdr>
            </w:div>
            <w:div w:id="1918124391">
              <w:marLeft w:val="0"/>
              <w:marRight w:val="0"/>
              <w:marTop w:val="0"/>
              <w:marBottom w:val="0"/>
              <w:divBdr>
                <w:top w:val="none" w:sz="0" w:space="0" w:color="auto"/>
                <w:left w:val="none" w:sz="0" w:space="0" w:color="auto"/>
                <w:bottom w:val="none" w:sz="0" w:space="0" w:color="auto"/>
                <w:right w:val="none" w:sz="0" w:space="0" w:color="auto"/>
              </w:divBdr>
            </w:div>
            <w:div w:id="728575762">
              <w:marLeft w:val="0"/>
              <w:marRight w:val="0"/>
              <w:marTop w:val="0"/>
              <w:marBottom w:val="0"/>
              <w:divBdr>
                <w:top w:val="none" w:sz="0" w:space="0" w:color="auto"/>
                <w:left w:val="none" w:sz="0" w:space="0" w:color="auto"/>
                <w:bottom w:val="none" w:sz="0" w:space="0" w:color="auto"/>
                <w:right w:val="none" w:sz="0" w:space="0" w:color="auto"/>
              </w:divBdr>
            </w:div>
          </w:divsChild>
        </w:div>
        <w:div w:id="1130782665">
          <w:marLeft w:val="0"/>
          <w:marRight w:val="0"/>
          <w:marTop w:val="0"/>
          <w:marBottom w:val="0"/>
          <w:divBdr>
            <w:top w:val="none" w:sz="0" w:space="0" w:color="auto"/>
            <w:left w:val="none" w:sz="0" w:space="0" w:color="auto"/>
            <w:bottom w:val="none" w:sz="0" w:space="0" w:color="auto"/>
            <w:right w:val="none" w:sz="0" w:space="0" w:color="auto"/>
          </w:divBdr>
        </w:div>
        <w:div w:id="1008216182">
          <w:marLeft w:val="0"/>
          <w:marRight w:val="0"/>
          <w:marTop w:val="0"/>
          <w:marBottom w:val="0"/>
          <w:divBdr>
            <w:top w:val="none" w:sz="0" w:space="0" w:color="auto"/>
            <w:left w:val="none" w:sz="0" w:space="0" w:color="auto"/>
            <w:bottom w:val="none" w:sz="0" w:space="0" w:color="auto"/>
            <w:right w:val="none" w:sz="0" w:space="0" w:color="auto"/>
          </w:divBdr>
        </w:div>
        <w:div w:id="992029152">
          <w:marLeft w:val="0"/>
          <w:marRight w:val="0"/>
          <w:marTop w:val="0"/>
          <w:marBottom w:val="0"/>
          <w:divBdr>
            <w:top w:val="none" w:sz="0" w:space="0" w:color="auto"/>
            <w:left w:val="none" w:sz="0" w:space="0" w:color="auto"/>
            <w:bottom w:val="none" w:sz="0" w:space="0" w:color="auto"/>
            <w:right w:val="none" w:sz="0" w:space="0" w:color="auto"/>
          </w:divBdr>
        </w:div>
        <w:div w:id="216598414">
          <w:marLeft w:val="0"/>
          <w:marRight w:val="0"/>
          <w:marTop w:val="0"/>
          <w:marBottom w:val="0"/>
          <w:divBdr>
            <w:top w:val="none" w:sz="0" w:space="0" w:color="auto"/>
            <w:left w:val="none" w:sz="0" w:space="0" w:color="auto"/>
            <w:bottom w:val="none" w:sz="0" w:space="0" w:color="auto"/>
            <w:right w:val="none" w:sz="0" w:space="0" w:color="auto"/>
          </w:divBdr>
        </w:div>
        <w:div w:id="1701084567">
          <w:marLeft w:val="0"/>
          <w:marRight w:val="0"/>
          <w:marTop w:val="0"/>
          <w:marBottom w:val="0"/>
          <w:divBdr>
            <w:top w:val="none" w:sz="0" w:space="0" w:color="auto"/>
            <w:left w:val="none" w:sz="0" w:space="0" w:color="auto"/>
            <w:bottom w:val="none" w:sz="0" w:space="0" w:color="auto"/>
            <w:right w:val="none" w:sz="0" w:space="0" w:color="auto"/>
          </w:divBdr>
        </w:div>
        <w:div w:id="728505240">
          <w:marLeft w:val="0"/>
          <w:marRight w:val="0"/>
          <w:marTop w:val="0"/>
          <w:marBottom w:val="0"/>
          <w:divBdr>
            <w:top w:val="none" w:sz="0" w:space="0" w:color="auto"/>
            <w:left w:val="none" w:sz="0" w:space="0" w:color="auto"/>
            <w:bottom w:val="none" w:sz="0" w:space="0" w:color="auto"/>
            <w:right w:val="none" w:sz="0" w:space="0" w:color="auto"/>
          </w:divBdr>
        </w:div>
        <w:div w:id="41490166">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514417182">
              <w:marLeft w:val="0"/>
              <w:marRight w:val="0"/>
              <w:marTop w:val="0"/>
              <w:marBottom w:val="0"/>
              <w:divBdr>
                <w:top w:val="none" w:sz="0" w:space="0" w:color="auto"/>
                <w:left w:val="none" w:sz="0" w:space="0" w:color="auto"/>
                <w:bottom w:val="none" w:sz="0" w:space="0" w:color="auto"/>
                <w:right w:val="none" w:sz="0" w:space="0" w:color="auto"/>
              </w:divBdr>
            </w:div>
            <w:div w:id="160003619">
              <w:marLeft w:val="0"/>
              <w:marRight w:val="0"/>
              <w:marTop w:val="0"/>
              <w:marBottom w:val="0"/>
              <w:divBdr>
                <w:top w:val="none" w:sz="0" w:space="0" w:color="auto"/>
                <w:left w:val="none" w:sz="0" w:space="0" w:color="auto"/>
                <w:bottom w:val="none" w:sz="0" w:space="0" w:color="auto"/>
                <w:right w:val="none" w:sz="0" w:space="0" w:color="auto"/>
              </w:divBdr>
            </w:div>
            <w:div w:id="1140607571">
              <w:marLeft w:val="0"/>
              <w:marRight w:val="0"/>
              <w:marTop w:val="166"/>
              <w:marBottom w:val="0"/>
              <w:divBdr>
                <w:top w:val="none" w:sz="0" w:space="0" w:color="auto"/>
                <w:left w:val="none" w:sz="0" w:space="0" w:color="auto"/>
                <w:bottom w:val="none" w:sz="0" w:space="0" w:color="auto"/>
                <w:right w:val="none" w:sz="0" w:space="0" w:color="auto"/>
              </w:divBdr>
            </w:div>
            <w:div w:id="241447906">
              <w:marLeft w:val="0"/>
              <w:marRight w:val="0"/>
              <w:marTop w:val="332"/>
              <w:marBottom w:val="332"/>
              <w:divBdr>
                <w:top w:val="none" w:sz="0" w:space="0" w:color="auto"/>
                <w:left w:val="none" w:sz="0" w:space="0" w:color="auto"/>
                <w:bottom w:val="none" w:sz="0" w:space="0" w:color="auto"/>
                <w:right w:val="none" w:sz="0" w:space="0" w:color="auto"/>
              </w:divBdr>
              <w:divsChild>
                <w:div w:id="1601717203">
                  <w:marLeft w:val="0"/>
                  <w:marRight w:val="0"/>
                  <w:marTop w:val="0"/>
                  <w:marBottom w:val="0"/>
                  <w:divBdr>
                    <w:top w:val="none" w:sz="0" w:space="0" w:color="auto"/>
                    <w:left w:val="none" w:sz="0" w:space="0" w:color="auto"/>
                    <w:bottom w:val="none" w:sz="0" w:space="0" w:color="auto"/>
                    <w:right w:val="none" w:sz="0" w:space="0" w:color="auto"/>
                  </w:divBdr>
                </w:div>
              </w:divsChild>
            </w:div>
            <w:div w:id="1123767865">
              <w:marLeft w:val="0"/>
              <w:marRight w:val="0"/>
              <w:marTop w:val="332"/>
              <w:marBottom w:val="332"/>
              <w:divBdr>
                <w:top w:val="none" w:sz="0" w:space="0" w:color="auto"/>
                <w:left w:val="none" w:sz="0" w:space="0" w:color="auto"/>
                <w:bottom w:val="none" w:sz="0" w:space="0" w:color="auto"/>
                <w:right w:val="none" w:sz="0" w:space="0" w:color="auto"/>
              </w:divBdr>
              <w:divsChild>
                <w:div w:id="1818257597">
                  <w:marLeft w:val="0"/>
                  <w:marRight w:val="0"/>
                  <w:marTop w:val="0"/>
                  <w:marBottom w:val="0"/>
                  <w:divBdr>
                    <w:top w:val="none" w:sz="0" w:space="0" w:color="auto"/>
                    <w:left w:val="none" w:sz="0" w:space="0" w:color="auto"/>
                    <w:bottom w:val="none" w:sz="0" w:space="0" w:color="auto"/>
                    <w:right w:val="none" w:sz="0" w:space="0" w:color="auto"/>
                  </w:divBdr>
                </w:div>
              </w:divsChild>
            </w:div>
            <w:div w:id="660161651">
              <w:marLeft w:val="0"/>
              <w:marRight w:val="0"/>
              <w:marTop w:val="332"/>
              <w:marBottom w:val="332"/>
              <w:divBdr>
                <w:top w:val="none" w:sz="0" w:space="0" w:color="auto"/>
                <w:left w:val="none" w:sz="0" w:space="0" w:color="auto"/>
                <w:bottom w:val="none" w:sz="0" w:space="0" w:color="auto"/>
                <w:right w:val="none" w:sz="0" w:space="0" w:color="auto"/>
              </w:divBdr>
              <w:divsChild>
                <w:div w:id="2019577379">
                  <w:marLeft w:val="0"/>
                  <w:marRight w:val="0"/>
                  <w:marTop w:val="0"/>
                  <w:marBottom w:val="0"/>
                  <w:divBdr>
                    <w:top w:val="none" w:sz="0" w:space="0" w:color="auto"/>
                    <w:left w:val="none" w:sz="0" w:space="0" w:color="auto"/>
                    <w:bottom w:val="none" w:sz="0" w:space="0" w:color="auto"/>
                    <w:right w:val="none" w:sz="0" w:space="0" w:color="auto"/>
                  </w:divBdr>
                </w:div>
              </w:divsChild>
            </w:div>
            <w:div w:id="1117023173">
              <w:marLeft w:val="0"/>
              <w:marRight w:val="0"/>
              <w:marTop w:val="332"/>
              <w:marBottom w:val="332"/>
              <w:divBdr>
                <w:top w:val="none" w:sz="0" w:space="0" w:color="auto"/>
                <w:left w:val="none" w:sz="0" w:space="0" w:color="auto"/>
                <w:bottom w:val="none" w:sz="0" w:space="0" w:color="auto"/>
                <w:right w:val="none" w:sz="0" w:space="0" w:color="auto"/>
              </w:divBdr>
              <w:divsChild>
                <w:div w:id="394091768">
                  <w:marLeft w:val="0"/>
                  <w:marRight w:val="0"/>
                  <w:marTop w:val="0"/>
                  <w:marBottom w:val="0"/>
                  <w:divBdr>
                    <w:top w:val="none" w:sz="0" w:space="0" w:color="auto"/>
                    <w:left w:val="none" w:sz="0" w:space="0" w:color="auto"/>
                    <w:bottom w:val="none" w:sz="0" w:space="0" w:color="auto"/>
                    <w:right w:val="none" w:sz="0" w:space="0" w:color="auto"/>
                  </w:divBdr>
                </w:div>
              </w:divsChild>
            </w:div>
            <w:div w:id="1050152681">
              <w:marLeft w:val="0"/>
              <w:marRight w:val="0"/>
              <w:marTop w:val="332"/>
              <w:marBottom w:val="332"/>
              <w:divBdr>
                <w:top w:val="none" w:sz="0" w:space="0" w:color="auto"/>
                <w:left w:val="none" w:sz="0" w:space="0" w:color="auto"/>
                <w:bottom w:val="none" w:sz="0" w:space="0" w:color="auto"/>
                <w:right w:val="none" w:sz="0" w:space="0" w:color="auto"/>
              </w:divBdr>
              <w:divsChild>
                <w:div w:id="92240256">
                  <w:marLeft w:val="0"/>
                  <w:marRight w:val="0"/>
                  <w:marTop w:val="0"/>
                  <w:marBottom w:val="0"/>
                  <w:divBdr>
                    <w:top w:val="none" w:sz="0" w:space="0" w:color="auto"/>
                    <w:left w:val="none" w:sz="0" w:space="0" w:color="auto"/>
                    <w:bottom w:val="none" w:sz="0" w:space="0" w:color="auto"/>
                    <w:right w:val="none" w:sz="0" w:space="0" w:color="auto"/>
                  </w:divBdr>
                </w:div>
              </w:divsChild>
            </w:div>
            <w:div w:id="133452693">
              <w:marLeft w:val="0"/>
              <w:marRight w:val="0"/>
              <w:marTop w:val="332"/>
              <w:marBottom w:val="332"/>
              <w:divBdr>
                <w:top w:val="none" w:sz="0" w:space="0" w:color="auto"/>
                <w:left w:val="none" w:sz="0" w:space="0" w:color="auto"/>
                <w:bottom w:val="none" w:sz="0" w:space="0" w:color="auto"/>
                <w:right w:val="none" w:sz="0" w:space="0" w:color="auto"/>
              </w:divBdr>
              <w:divsChild>
                <w:div w:id="2138066242">
                  <w:marLeft w:val="0"/>
                  <w:marRight w:val="0"/>
                  <w:marTop w:val="0"/>
                  <w:marBottom w:val="0"/>
                  <w:divBdr>
                    <w:top w:val="none" w:sz="0" w:space="0" w:color="auto"/>
                    <w:left w:val="none" w:sz="0" w:space="0" w:color="auto"/>
                    <w:bottom w:val="none" w:sz="0" w:space="0" w:color="auto"/>
                    <w:right w:val="none" w:sz="0" w:space="0" w:color="auto"/>
                  </w:divBdr>
                </w:div>
              </w:divsChild>
            </w:div>
            <w:div w:id="2136629732">
              <w:marLeft w:val="0"/>
              <w:marRight w:val="0"/>
              <w:marTop w:val="332"/>
              <w:marBottom w:val="332"/>
              <w:divBdr>
                <w:top w:val="none" w:sz="0" w:space="0" w:color="auto"/>
                <w:left w:val="none" w:sz="0" w:space="0" w:color="auto"/>
                <w:bottom w:val="none" w:sz="0" w:space="0" w:color="auto"/>
                <w:right w:val="none" w:sz="0" w:space="0" w:color="auto"/>
              </w:divBdr>
              <w:divsChild>
                <w:div w:id="487988910">
                  <w:marLeft w:val="0"/>
                  <w:marRight w:val="0"/>
                  <w:marTop w:val="0"/>
                  <w:marBottom w:val="0"/>
                  <w:divBdr>
                    <w:top w:val="none" w:sz="0" w:space="0" w:color="auto"/>
                    <w:left w:val="none" w:sz="0" w:space="0" w:color="auto"/>
                    <w:bottom w:val="none" w:sz="0" w:space="0" w:color="auto"/>
                    <w:right w:val="none" w:sz="0" w:space="0" w:color="auto"/>
                  </w:divBdr>
                </w:div>
              </w:divsChild>
            </w:div>
            <w:div w:id="587420401">
              <w:marLeft w:val="0"/>
              <w:marRight w:val="0"/>
              <w:marTop w:val="332"/>
              <w:marBottom w:val="332"/>
              <w:divBdr>
                <w:top w:val="none" w:sz="0" w:space="0" w:color="auto"/>
                <w:left w:val="none" w:sz="0" w:space="0" w:color="auto"/>
                <w:bottom w:val="none" w:sz="0" w:space="0" w:color="auto"/>
                <w:right w:val="none" w:sz="0" w:space="0" w:color="auto"/>
              </w:divBdr>
              <w:divsChild>
                <w:div w:id="276526002">
                  <w:marLeft w:val="0"/>
                  <w:marRight w:val="0"/>
                  <w:marTop w:val="0"/>
                  <w:marBottom w:val="0"/>
                  <w:divBdr>
                    <w:top w:val="none" w:sz="0" w:space="0" w:color="auto"/>
                    <w:left w:val="none" w:sz="0" w:space="0" w:color="auto"/>
                    <w:bottom w:val="none" w:sz="0" w:space="0" w:color="auto"/>
                    <w:right w:val="none" w:sz="0" w:space="0" w:color="auto"/>
                  </w:divBdr>
                </w:div>
              </w:divsChild>
            </w:div>
            <w:div w:id="1021931621">
              <w:marLeft w:val="0"/>
              <w:marRight w:val="0"/>
              <w:marTop w:val="332"/>
              <w:marBottom w:val="332"/>
              <w:divBdr>
                <w:top w:val="none" w:sz="0" w:space="0" w:color="auto"/>
                <w:left w:val="none" w:sz="0" w:space="0" w:color="auto"/>
                <w:bottom w:val="none" w:sz="0" w:space="0" w:color="auto"/>
                <w:right w:val="none" w:sz="0" w:space="0" w:color="auto"/>
              </w:divBdr>
              <w:divsChild>
                <w:div w:id="34645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225800">
          <w:marLeft w:val="0"/>
          <w:marRight w:val="0"/>
          <w:marTop w:val="0"/>
          <w:marBottom w:val="0"/>
          <w:divBdr>
            <w:top w:val="none" w:sz="0" w:space="0" w:color="auto"/>
            <w:left w:val="none" w:sz="0" w:space="0" w:color="auto"/>
            <w:bottom w:val="none" w:sz="0" w:space="0" w:color="auto"/>
            <w:right w:val="none" w:sz="0" w:space="0" w:color="auto"/>
          </w:divBdr>
          <w:divsChild>
            <w:div w:id="433088864">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2103524674">
                  <w:marLeft w:val="0"/>
                  <w:marRight w:val="0"/>
                  <w:marTop w:val="0"/>
                  <w:marBottom w:val="332"/>
                  <w:divBdr>
                    <w:top w:val="none" w:sz="0" w:space="0" w:color="auto"/>
                    <w:left w:val="none" w:sz="0" w:space="0" w:color="auto"/>
                    <w:bottom w:val="none" w:sz="0" w:space="0" w:color="auto"/>
                    <w:right w:val="none" w:sz="0" w:space="0" w:color="auto"/>
                  </w:divBdr>
                </w:div>
                <w:div w:id="2117559687">
                  <w:marLeft w:val="0"/>
                  <w:marRight w:val="0"/>
                  <w:marTop w:val="0"/>
                  <w:marBottom w:val="0"/>
                  <w:divBdr>
                    <w:top w:val="none" w:sz="0" w:space="0" w:color="auto"/>
                    <w:left w:val="none" w:sz="0" w:space="0" w:color="auto"/>
                    <w:bottom w:val="none" w:sz="0" w:space="0" w:color="auto"/>
                    <w:right w:val="none" w:sz="0" w:space="0" w:color="auto"/>
                  </w:divBdr>
                  <w:divsChild>
                    <w:div w:id="654644888">
                      <w:marLeft w:val="0"/>
                      <w:marRight w:val="0"/>
                      <w:marTop w:val="0"/>
                      <w:marBottom w:val="0"/>
                      <w:divBdr>
                        <w:top w:val="none" w:sz="0" w:space="0" w:color="auto"/>
                        <w:left w:val="none" w:sz="0" w:space="0" w:color="auto"/>
                        <w:bottom w:val="none" w:sz="0" w:space="0" w:color="auto"/>
                        <w:right w:val="none" w:sz="0" w:space="0" w:color="auto"/>
                      </w:divBdr>
                    </w:div>
                    <w:div w:id="1400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954273">
          <w:marLeft w:val="0"/>
          <w:marRight w:val="0"/>
          <w:marTop w:val="0"/>
          <w:marBottom w:val="0"/>
          <w:divBdr>
            <w:top w:val="none" w:sz="0" w:space="0" w:color="auto"/>
            <w:left w:val="none" w:sz="0" w:space="0" w:color="auto"/>
            <w:bottom w:val="none" w:sz="0" w:space="0" w:color="auto"/>
            <w:right w:val="none" w:sz="0" w:space="0" w:color="auto"/>
          </w:divBdr>
        </w:div>
        <w:div w:id="909541087">
          <w:marLeft w:val="0"/>
          <w:marRight w:val="0"/>
          <w:marTop w:val="0"/>
          <w:marBottom w:val="0"/>
          <w:divBdr>
            <w:top w:val="none" w:sz="0" w:space="0" w:color="auto"/>
            <w:left w:val="none" w:sz="0" w:space="0" w:color="auto"/>
            <w:bottom w:val="none" w:sz="0" w:space="0" w:color="auto"/>
            <w:right w:val="none" w:sz="0" w:space="0" w:color="auto"/>
          </w:divBdr>
          <w:divsChild>
            <w:div w:id="1126510346">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288752568">
                  <w:marLeft w:val="0"/>
                  <w:marRight w:val="0"/>
                  <w:marTop w:val="0"/>
                  <w:marBottom w:val="332"/>
                  <w:divBdr>
                    <w:top w:val="none" w:sz="0" w:space="0" w:color="auto"/>
                    <w:left w:val="none" w:sz="0" w:space="0" w:color="auto"/>
                    <w:bottom w:val="none" w:sz="0" w:space="0" w:color="auto"/>
                    <w:right w:val="none" w:sz="0" w:space="0" w:color="auto"/>
                  </w:divBdr>
                </w:div>
                <w:div w:id="1477916060">
                  <w:marLeft w:val="0"/>
                  <w:marRight w:val="0"/>
                  <w:marTop w:val="0"/>
                  <w:marBottom w:val="0"/>
                  <w:divBdr>
                    <w:top w:val="none" w:sz="0" w:space="0" w:color="auto"/>
                    <w:left w:val="none" w:sz="0" w:space="0" w:color="auto"/>
                    <w:bottom w:val="none" w:sz="0" w:space="0" w:color="auto"/>
                    <w:right w:val="none" w:sz="0" w:space="0" w:color="auto"/>
                  </w:divBdr>
                  <w:divsChild>
                    <w:div w:id="598635640">
                      <w:marLeft w:val="0"/>
                      <w:marRight w:val="0"/>
                      <w:marTop w:val="0"/>
                      <w:marBottom w:val="0"/>
                      <w:divBdr>
                        <w:top w:val="none" w:sz="0" w:space="0" w:color="auto"/>
                        <w:left w:val="none" w:sz="0" w:space="0" w:color="auto"/>
                        <w:bottom w:val="none" w:sz="0" w:space="0" w:color="auto"/>
                        <w:right w:val="none" w:sz="0" w:space="0" w:color="auto"/>
                      </w:divBdr>
                    </w:div>
                    <w:div w:id="110731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10890">
          <w:marLeft w:val="0"/>
          <w:marRight w:val="0"/>
          <w:marTop w:val="0"/>
          <w:marBottom w:val="0"/>
          <w:divBdr>
            <w:top w:val="none" w:sz="0" w:space="0" w:color="auto"/>
            <w:left w:val="none" w:sz="0" w:space="0" w:color="auto"/>
            <w:bottom w:val="none" w:sz="0" w:space="0" w:color="auto"/>
            <w:right w:val="none" w:sz="0" w:space="0" w:color="auto"/>
          </w:divBdr>
          <w:divsChild>
            <w:div w:id="1680692836">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337005086">
                  <w:marLeft w:val="0"/>
                  <w:marRight w:val="0"/>
                  <w:marTop w:val="0"/>
                  <w:marBottom w:val="332"/>
                  <w:divBdr>
                    <w:top w:val="none" w:sz="0" w:space="0" w:color="auto"/>
                    <w:left w:val="none" w:sz="0" w:space="0" w:color="auto"/>
                    <w:bottom w:val="none" w:sz="0" w:space="0" w:color="auto"/>
                    <w:right w:val="none" w:sz="0" w:space="0" w:color="auto"/>
                  </w:divBdr>
                </w:div>
                <w:div w:id="1548251143">
                  <w:marLeft w:val="0"/>
                  <w:marRight w:val="0"/>
                  <w:marTop w:val="0"/>
                  <w:marBottom w:val="0"/>
                  <w:divBdr>
                    <w:top w:val="none" w:sz="0" w:space="0" w:color="auto"/>
                    <w:left w:val="none" w:sz="0" w:space="0" w:color="auto"/>
                    <w:bottom w:val="none" w:sz="0" w:space="0" w:color="auto"/>
                    <w:right w:val="none" w:sz="0" w:space="0" w:color="auto"/>
                  </w:divBdr>
                  <w:divsChild>
                    <w:div w:id="1856189619">
                      <w:marLeft w:val="0"/>
                      <w:marRight w:val="0"/>
                      <w:marTop w:val="0"/>
                      <w:marBottom w:val="0"/>
                      <w:divBdr>
                        <w:top w:val="none" w:sz="0" w:space="0" w:color="auto"/>
                        <w:left w:val="none" w:sz="0" w:space="0" w:color="auto"/>
                        <w:bottom w:val="none" w:sz="0" w:space="0" w:color="auto"/>
                        <w:right w:val="none" w:sz="0" w:space="0" w:color="auto"/>
                      </w:divBdr>
                    </w:div>
                    <w:div w:id="104294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90195">
          <w:marLeft w:val="0"/>
          <w:marRight w:val="0"/>
          <w:marTop w:val="0"/>
          <w:marBottom w:val="0"/>
          <w:divBdr>
            <w:top w:val="none" w:sz="0" w:space="0" w:color="auto"/>
            <w:left w:val="none" w:sz="0" w:space="0" w:color="auto"/>
            <w:bottom w:val="none" w:sz="0" w:space="0" w:color="auto"/>
            <w:right w:val="none" w:sz="0" w:space="0" w:color="auto"/>
          </w:divBdr>
        </w:div>
        <w:div w:id="2071149887">
          <w:marLeft w:val="0"/>
          <w:marRight w:val="0"/>
          <w:marTop w:val="0"/>
          <w:marBottom w:val="0"/>
          <w:divBdr>
            <w:top w:val="none" w:sz="0" w:space="0" w:color="auto"/>
            <w:left w:val="none" w:sz="0" w:space="0" w:color="auto"/>
            <w:bottom w:val="none" w:sz="0" w:space="0" w:color="auto"/>
            <w:right w:val="none" w:sz="0" w:space="0" w:color="auto"/>
          </w:divBdr>
        </w:div>
        <w:div w:id="661008815">
          <w:marLeft w:val="0"/>
          <w:marRight w:val="0"/>
          <w:marTop w:val="0"/>
          <w:marBottom w:val="0"/>
          <w:divBdr>
            <w:top w:val="none" w:sz="0" w:space="0" w:color="auto"/>
            <w:left w:val="none" w:sz="0" w:space="0" w:color="auto"/>
            <w:bottom w:val="none" w:sz="0" w:space="0" w:color="auto"/>
            <w:right w:val="none" w:sz="0" w:space="0" w:color="auto"/>
          </w:divBdr>
        </w:div>
        <w:div w:id="799566549">
          <w:marLeft w:val="0"/>
          <w:marRight w:val="0"/>
          <w:marTop w:val="332"/>
          <w:marBottom w:val="332"/>
          <w:divBdr>
            <w:top w:val="single" w:sz="6" w:space="0" w:color="EAC3AF"/>
            <w:left w:val="single" w:sz="6" w:space="17" w:color="EAC3AF"/>
            <w:bottom w:val="single" w:sz="6" w:space="0" w:color="EAC3AF"/>
            <w:right w:val="single" w:sz="6" w:space="17" w:color="EAC3AF"/>
          </w:divBdr>
          <w:divsChild>
            <w:div w:id="472061941">
              <w:marLeft w:val="0"/>
              <w:marRight w:val="0"/>
              <w:marTop w:val="166"/>
              <w:marBottom w:val="166"/>
              <w:divBdr>
                <w:top w:val="none" w:sz="0" w:space="0" w:color="auto"/>
                <w:left w:val="none" w:sz="0" w:space="0" w:color="auto"/>
                <w:bottom w:val="none" w:sz="0" w:space="0" w:color="auto"/>
                <w:right w:val="none" w:sz="0" w:space="0" w:color="auto"/>
              </w:divBdr>
            </w:div>
          </w:divsChild>
        </w:div>
        <w:div w:id="393310848">
          <w:marLeft w:val="0"/>
          <w:marRight w:val="0"/>
          <w:marTop w:val="0"/>
          <w:marBottom w:val="0"/>
          <w:divBdr>
            <w:top w:val="none" w:sz="0" w:space="0" w:color="auto"/>
            <w:left w:val="none" w:sz="0" w:space="0" w:color="auto"/>
            <w:bottom w:val="none" w:sz="0" w:space="0" w:color="auto"/>
            <w:right w:val="none" w:sz="0" w:space="0" w:color="auto"/>
          </w:divBdr>
        </w:div>
        <w:div w:id="1377467258">
          <w:marLeft w:val="0"/>
          <w:marRight w:val="0"/>
          <w:marTop w:val="0"/>
          <w:marBottom w:val="0"/>
          <w:divBdr>
            <w:top w:val="none" w:sz="0" w:space="0" w:color="auto"/>
            <w:left w:val="none" w:sz="0" w:space="0" w:color="auto"/>
            <w:bottom w:val="none" w:sz="0" w:space="0" w:color="auto"/>
            <w:right w:val="none" w:sz="0" w:space="0" w:color="auto"/>
          </w:divBdr>
          <w:divsChild>
            <w:div w:id="1354114655">
              <w:marLeft w:val="0"/>
              <w:marRight w:val="0"/>
              <w:marTop w:val="166"/>
              <w:marBottom w:val="166"/>
              <w:divBdr>
                <w:top w:val="none" w:sz="0" w:space="0" w:color="auto"/>
                <w:left w:val="none" w:sz="0" w:space="0" w:color="auto"/>
                <w:bottom w:val="none" w:sz="0" w:space="0" w:color="auto"/>
                <w:right w:val="none" w:sz="0" w:space="0" w:color="auto"/>
              </w:divBdr>
            </w:div>
            <w:div w:id="333648900">
              <w:marLeft w:val="0"/>
              <w:marRight w:val="0"/>
              <w:marTop w:val="166"/>
              <w:marBottom w:val="166"/>
              <w:divBdr>
                <w:top w:val="none" w:sz="0" w:space="0" w:color="auto"/>
                <w:left w:val="none" w:sz="0" w:space="0" w:color="auto"/>
                <w:bottom w:val="none" w:sz="0" w:space="0" w:color="auto"/>
                <w:right w:val="none" w:sz="0" w:space="0" w:color="auto"/>
              </w:divBdr>
            </w:div>
            <w:div w:id="1866752370">
              <w:marLeft w:val="0"/>
              <w:marRight w:val="0"/>
              <w:marTop w:val="166"/>
              <w:marBottom w:val="166"/>
              <w:divBdr>
                <w:top w:val="none" w:sz="0" w:space="0" w:color="auto"/>
                <w:left w:val="none" w:sz="0" w:space="0" w:color="auto"/>
                <w:bottom w:val="none" w:sz="0" w:space="0" w:color="auto"/>
                <w:right w:val="none" w:sz="0" w:space="0" w:color="auto"/>
              </w:divBdr>
            </w:div>
            <w:div w:id="1814788288">
              <w:marLeft w:val="0"/>
              <w:marRight w:val="0"/>
              <w:marTop w:val="166"/>
              <w:marBottom w:val="166"/>
              <w:divBdr>
                <w:top w:val="none" w:sz="0" w:space="0" w:color="auto"/>
                <w:left w:val="none" w:sz="0" w:space="0" w:color="auto"/>
                <w:bottom w:val="none" w:sz="0" w:space="0" w:color="auto"/>
                <w:right w:val="none" w:sz="0" w:space="0" w:color="auto"/>
              </w:divBdr>
            </w:div>
            <w:div w:id="188227421">
              <w:marLeft w:val="0"/>
              <w:marRight w:val="0"/>
              <w:marTop w:val="166"/>
              <w:marBottom w:val="166"/>
              <w:divBdr>
                <w:top w:val="none" w:sz="0" w:space="0" w:color="auto"/>
                <w:left w:val="none" w:sz="0" w:space="0" w:color="auto"/>
                <w:bottom w:val="none" w:sz="0" w:space="0" w:color="auto"/>
                <w:right w:val="none" w:sz="0" w:space="0" w:color="auto"/>
              </w:divBdr>
            </w:div>
            <w:div w:id="1023941659">
              <w:marLeft w:val="0"/>
              <w:marRight w:val="0"/>
              <w:marTop w:val="166"/>
              <w:marBottom w:val="166"/>
              <w:divBdr>
                <w:top w:val="none" w:sz="0" w:space="0" w:color="auto"/>
                <w:left w:val="none" w:sz="0" w:space="0" w:color="auto"/>
                <w:bottom w:val="none" w:sz="0" w:space="0" w:color="auto"/>
                <w:right w:val="none" w:sz="0" w:space="0" w:color="auto"/>
              </w:divBdr>
            </w:div>
            <w:div w:id="1260337326">
              <w:marLeft w:val="0"/>
              <w:marRight w:val="0"/>
              <w:marTop w:val="166"/>
              <w:marBottom w:val="166"/>
              <w:divBdr>
                <w:top w:val="none" w:sz="0" w:space="0" w:color="auto"/>
                <w:left w:val="none" w:sz="0" w:space="0" w:color="auto"/>
                <w:bottom w:val="none" w:sz="0" w:space="0" w:color="auto"/>
                <w:right w:val="none" w:sz="0" w:space="0" w:color="auto"/>
              </w:divBdr>
            </w:div>
            <w:div w:id="1997344504">
              <w:marLeft w:val="0"/>
              <w:marRight w:val="0"/>
              <w:marTop w:val="166"/>
              <w:marBottom w:val="166"/>
              <w:divBdr>
                <w:top w:val="none" w:sz="0" w:space="0" w:color="auto"/>
                <w:left w:val="none" w:sz="0" w:space="0" w:color="auto"/>
                <w:bottom w:val="none" w:sz="0" w:space="0" w:color="auto"/>
                <w:right w:val="none" w:sz="0" w:space="0" w:color="auto"/>
              </w:divBdr>
            </w:div>
            <w:div w:id="1275214284">
              <w:marLeft w:val="0"/>
              <w:marRight w:val="0"/>
              <w:marTop w:val="166"/>
              <w:marBottom w:val="166"/>
              <w:divBdr>
                <w:top w:val="none" w:sz="0" w:space="0" w:color="auto"/>
                <w:left w:val="none" w:sz="0" w:space="0" w:color="auto"/>
                <w:bottom w:val="none" w:sz="0" w:space="0" w:color="auto"/>
                <w:right w:val="none" w:sz="0" w:space="0" w:color="auto"/>
              </w:divBdr>
            </w:div>
            <w:div w:id="1752577286">
              <w:marLeft w:val="0"/>
              <w:marRight w:val="0"/>
              <w:marTop w:val="166"/>
              <w:marBottom w:val="166"/>
              <w:divBdr>
                <w:top w:val="none" w:sz="0" w:space="0" w:color="auto"/>
                <w:left w:val="none" w:sz="0" w:space="0" w:color="auto"/>
                <w:bottom w:val="none" w:sz="0" w:space="0" w:color="auto"/>
                <w:right w:val="none" w:sz="0" w:space="0" w:color="auto"/>
              </w:divBdr>
            </w:div>
            <w:div w:id="791290515">
              <w:marLeft w:val="0"/>
              <w:marRight w:val="0"/>
              <w:marTop w:val="166"/>
              <w:marBottom w:val="166"/>
              <w:divBdr>
                <w:top w:val="none" w:sz="0" w:space="0" w:color="auto"/>
                <w:left w:val="none" w:sz="0" w:space="0" w:color="auto"/>
                <w:bottom w:val="none" w:sz="0" w:space="0" w:color="auto"/>
                <w:right w:val="none" w:sz="0" w:space="0" w:color="auto"/>
              </w:divBdr>
            </w:div>
            <w:div w:id="1823698543">
              <w:marLeft w:val="0"/>
              <w:marRight w:val="0"/>
              <w:marTop w:val="166"/>
              <w:marBottom w:val="166"/>
              <w:divBdr>
                <w:top w:val="none" w:sz="0" w:space="0" w:color="auto"/>
                <w:left w:val="none" w:sz="0" w:space="0" w:color="auto"/>
                <w:bottom w:val="none" w:sz="0" w:space="0" w:color="auto"/>
                <w:right w:val="none" w:sz="0" w:space="0" w:color="auto"/>
              </w:divBdr>
            </w:div>
            <w:div w:id="1168597420">
              <w:marLeft w:val="0"/>
              <w:marRight w:val="0"/>
              <w:marTop w:val="166"/>
              <w:marBottom w:val="166"/>
              <w:divBdr>
                <w:top w:val="none" w:sz="0" w:space="0" w:color="auto"/>
                <w:left w:val="none" w:sz="0" w:space="0" w:color="auto"/>
                <w:bottom w:val="none" w:sz="0" w:space="0" w:color="auto"/>
                <w:right w:val="none" w:sz="0" w:space="0" w:color="auto"/>
              </w:divBdr>
            </w:div>
            <w:div w:id="556403418">
              <w:marLeft w:val="0"/>
              <w:marRight w:val="0"/>
              <w:marTop w:val="166"/>
              <w:marBottom w:val="166"/>
              <w:divBdr>
                <w:top w:val="none" w:sz="0" w:space="0" w:color="auto"/>
                <w:left w:val="none" w:sz="0" w:space="0" w:color="auto"/>
                <w:bottom w:val="none" w:sz="0" w:space="0" w:color="auto"/>
                <w:right w:val="none" w:sz="0" w:space="0" w:color="auto"/>
              </w:divBdr>
            </w:div>
            <w:div w:id="1661348840">
              <w:marLeft w:val="0"/>
              <w:marRight w:val="0"/>
              <w:marTop w:val="166"/>
              <w:marBottom w:val="166"/>
              <w:divBdr>
                <w:top w:val="none" w:sz="0" w:space="0" w:color="auto"/>
                <w:left w:val="none" w:sz="0" w:space="0" w:color="auto"/>
                <w:bottom w:val="none" w:sz="0" w:space="0" w:color="auto"/>
                <w:right w:val="none" w:sz="0" w:space="0" w:color="auto"/>
              </w:divBdr>
            </w:div>
            <w:div w:id="177083102">
              <w:marLeft w:val="0"/>
              <w:marRight w:val="0"/>
              <w:marTop w:val="166"/>
              <w:marBottom w:val="166"/>
              <w:divBdr>
                <w:top w:val="none" w:sz="0" w:space="0" w:color="auto"/>
                <w:left w:val="none" w:sz="0" w:space="0" w:color="auto"/>
                <w:bottom w:val="none" w:sz="0" w:space="0" w:color="auto"/>
                <w:right w:val="none" w:sz="0" w:space="0" w:color="auto"/>
              </w:divBdr>
            </w:div>
            <w:div w:id="1424719017">
              <w:marLeft w:val="0"/>
              <w:marRight w:val="0"/>
              <w:marTop w:val="166"/>
              <w:marBottom w:val="166"/>
              <w:divBdr>
                <w:top w:val="none" w:sz="0" w:space="0" w:color="auto"/>
                <w:left w:val="none" w:sz="0" w:space="0" w:color="auto"/>
                <w:bottom w:val="none" w:sz="0" w:space="0" w:color="auto"/>
                <w:right w:val="none" w:sz="0" w:space="0" w:color="auto"/>
              </w:divBdr>
            </w:div>
            <w:div w:id="2094473672">
              <w:marLeft w:val="0"/>
              <w:marRight w:val="0"/>
              <w:marTop w:val="166"/>
              <w:marBottom w:val="166"/>
              <w:divBdr>
                <w:top w:val="none" w:sz="0" w:space="0" w:color="auto"/>
                <w:left w:val="none" w:sz="0" w:space="0" w:color="auto"/>
                <w:bottom w:val="none" w:sz="0" w:space="0" w:color="auto"/>
                <w:right w:val="none" w:sz="0" w:space="0" w:color="auto"/>
              </w:divBdr>
            </w:div>
            <w:div w:id="412708345">
              <w:marLeft w:val="0"/>
              <w:marRight w:val="0"/>
              <w:marTop w:val="166"/>
              <w:marBottom w:val="166"/>
              <w:divBdr>
                <w:top w:val="none" w:sz="0" w:space="0" w:color="auto"/>
                <w:left w:val="none" w:sz="0" w:space="0" w:color="auto"/>
                <w:bottom w:val="none" w:sz="0" w:space="0" w:color="auto"/>
                <w:right w:val="none" w:sz="0" w:space="0" w:color="auto"/>
              </w:divBdr>
            </w:div>
            <w:div w:id="115833406">
              <w:marLeft w:val="0"/>
              <w:marRight w:val="0"/>
              <w:marTop w:val="166"/>
              <w:marBottom w:val="166"/>
              <w:divBdr>
                <w:top w:val="none" w:sz="0" w:space="0" w:color="auto"/>
                <w:left w:val="none" w:sz="0" w:space="0" w:color="auto"/>
                <w:bottom w:val="none" w:sz="0" w:space="0" w:color="auto"/>
                <w:right w:val="none" w:sz="0" w:space="0" w:color="auto"/>
              </w:divBdr>
            </w:div>
            <w:div w:id="1228955114">
              <w:marLeft w:val="0"/>
              <w:marRight w:val="0"/>
              <w:marTop w:val="166"/>
              <w:marBottom w:val="166"/>
              <w:divBdr>
                <w:top w:val="none" w:sz="0" w:space="0" w:color="auto"/>
                <w:left w:val="none" w:sz="0" w:space="0" w:color="auto"/>
                <w:bottom w:val="none" w:sz="0" w:space="0" w:color="auto"/>
                <w:right w:val="none" w:sz="0" w:space="0" w:color="auto"/>
              </w:divBdr>
            </w:div>
            <w:div w:id="216556701">
              <w:marLeft w:val="0"/>
              <w:marRight w:val="0"/>
              <w:marTop w:val="166"/>
              <w:marBottom w:val="166"/>
              <w:divBdr>
                <w:top w:val="none" w:sz="0" w:space="0" w:color="auto"/>
                <w:left w:val="none" w:sz="0" w:space="0" w:color="auto"/>
                <w:bottom w:val="none" w:sz="0" w:space="0" w:color="auto"/>
                <w:right w:val="none" w:sz="0" w:space="0" w:color="auto"/>
              </w:divBdr>
            </w:div>
            <w:div w:id="2096396865">
              <w:marLeft w:val="0"/>
              <w:marRight w:val="0"/>
              <w:marTop w:val="166"/>
              <w:marBottom w:val="166"/>
              <w:divBdr>
                <w:top w:val="none" w:sz="0" w:space="0" w:color="auto"/>
                <w:left w:val="none" w:sz="0" w:space="0" w:color="auto"/>
                <w:bottom w:val="none" w:sz="0" w:space="0" w:color="auto"/>
                <w:right w:val="none" w:sz="0" w:space="0" w:color="auto"/>
              </w:divBdr>
            </w:div>
            <w:div w:id="1161966775">
              <w:marLeft w:val="0"/>
              <w:marRight w:val="0"/>
              <w:marTop w:val="166"/>
              <w:marBottom w:val="166"/>
              <w:divBdr>
                <w:top w:val="none" w:sz="0" w:space="0" w:color="auto"/>
                <w:left w:val="none" w:sz="0" w:space="0" w:color="auto"/>
                <w:bottom w:val="none" w:sz="0" w:space="0" w:color="auto"/>
                <w:right w:val="none" w:sz="0" w:space="0" w:color="auto"/>
              </w:divBdr>
            </w:div>
            <w:div w:id="2052656178">
              <w:marLeft w:val="0"/>
              <w:marRight w:val="0"/>
              <w:marTop w:val="166"/>
              <w:marBottom w:val="166"/>
              <w:divBdr>
                <w:top w:val="none" w:sz="0" w:space="0" w:color="auto"/>
                <w:left w:val="none" w:sz="0" w:space="0" w:color="auto"/>
                <w:bottom w:val="none" w:sz="0" w:space="0" w:color="auto"/>
                <w:right w:val="none" w:sz="0" w:space="0" w:color="auto"/>
              </w:divBdr>
            </w:div>
            <w:div w:id="1813138339">
              <w:marLeft w:val="0"/>
              <w:marRight w:val="0"/>
              <w:marTop w:val="166"/>
              <w:marBottom w:val="166"/>
              <w:divBdr>
                <w:top w:val="none" w:sz="0" w:space="0" w:color="auto"/>
                <w:left w:val="none" w:sz="0" w:space="0" w:color="auto"/>
                <w:bottom w:val="none" w:sz="0" w:space="0" w:color="auto"/>
                <w:right w:val="none" w:sz="0" w:space="0" w:color="auto"/>
              </w:divBdr>
            </w:div>
            <w:div w:id="1161118159">
              <w:marLeft w:val="0"/>
              <w:marRight w:val="0"/>
              <w:marTop w:val="166"/>
              <w:marBottom w:val="166"/>
              <w:divBdr>
                <w:top w:val="none" w:sz="0" w:space="0" w:color="auto"/>
                <w:left w:val="none" w:sz="0" w:space="0" w:color="auto"/>
                <w:bottom w:val="none" w:sz="0" w:space="0" w:color="auto"/>
                <w:right w:val="none" w:sz="0" w:space="0" w:color="auto"/>
              </w:divBdr>
            </w:div>
            <w:div w:id="1072659598">
              <w:marLeft w:val="0"/>
              <w:marRight w:val="0"/>
              <w:marTop w:val="166"/>
              <w:marBottom w:val="166"/>
              <w:divBdr>
                <w:top w:val="none" w:sz="0" w:space="0" w:color="auto"/>
                <w:left w:val="none" w:sz="0" w:space="0" w:color="auto"/>
                <w:bottom w:val="none" w:sz="0" w:space="0" w:color="auto"/>
                <w:right w:val="none" w:sz="0" w:space="0" w:color="auto"/>
              </w:divBdr>
            </w:div>
            <w:div w:id="1887568949">
              <w:marLeft w:val="0"/>
              <w:marRight w:val="0"/>
              <w:marTop w:val="166"/>
              <w:marBottom w:val="166"/>
              <w:divBdr>
                <w:top w:val="none" w:sz="0" w:space="0" w:color="auto"/>
                <w:left w:val="none" w:sz="0" w:space="0" w:color="auto"/>
                <w:bottom w:val="none" w:sz="0" w:space="0" w:color="auto"/>
                <w:right w:val="none" w:sz="0" w:space="0" w:color="auto"/>
              </w:divBdr>
            </w:div>
            <w:div w:id="1557424631">
              <w:marLeft w:val="0"/>
              <w:marRight w:val="0"/>
              <w:marTop w:val="166"/>
              <w:marBottom w:val="166"/>
              <w:divBdr>
                <w:top w:val="none" w:sz="0" w:space="0" w:color="auto"/>
                <w:left w:val="none" w:sz="0" w:space="0" w:color="auto"/>
                <w:bottom w:val="none" w:sz="0" w:space="0" w:color="auto"/>
                <w:right w:val="none" w:sz="0" w:space="0" w:color="auto"/>
              </w:divBdr>
            </w:div>
            <w:div w:id="1624383478">
              <w:marLeft w:val="0"/>
              <w:marRight w:val="0"/>
              <w:marTop w:val="166"/>
              <w:marBottom w:val="166"/>
              <w:divBdr>
                <w:top w:val="none" w:sz="0" w:space="0" w:color="auto"/>
                <w:left w:val="none" w:sz="0" w:space="0" w:color="auto"/>
                <w:bottom w:val="none" w:sz="0" w:space="0" w:color="auto"/>
                <w:right w:val="none" w:sz="0" w:space="0" w:color="auto"/>
              </w:divBdr>
            </w:div>
            <w:div w:id="550313801">
              <w:marLeft w:val="0"/>
              <w:marRight w:val="0"/>
              <w:marTop w:val="166"/>
              <w:marBottom w:val="166"/>
              <w:divBdr>
                <w:top w:val="none" w:sz="0" w:space="0" w:color="auto"/>
                <w:left w:val="none" w:sz="0" w:space="0" w:color="auto"/>
                <w:bottom w:val="none" w:sz="0" w:space="0" w:color="auto"/>
                <w:right w:val="none" w:sz="0" w:space="0" w:color="auto"/>
              </w:divBdr>
            </w:div>
            <w:div w:id="1367100990">
              <w:marLeft w:val="0"/>
              <w:marRight w:val="0"/>
              <w:marTop w:val="166"/>
              <w:marBottom w:val="166"/>
              <w:divBdr>
                <w:top w:val="none" w:sz="0" w:space="0" w:color="auto"/>
                <w:left w:val="none" w:sz="0" w:space="0" w:color="auto"/>
                <w:bottom w:val="none" w:sz="0" w:space="0" w:color="auto"/>
                <w:right w:val="none" w:sz="0" w:space="0" w:color="auto"/>
              </w:divBdr>
            </w:div>
            <w:div w:id="1037656416">
              <w:marLeft w:val="0"/>
              <w:marRight w:val="0"/>
              <w:marTop w:val="166"/>
              <w:marBottom w:val="166"/>
              <w:divBdr>
                <w:top w:val="none" w:sz="0" w:space="0" w:color="auto"/>
                <w:left w:val="none" w:sz="0" w:space="0" w:color="auto"/>
                <w:bottom w:val="none" w:sz="0" w:space="0" w:color="auto"/>
                <w:right w:val="none" w:sz="0" w:space="0" w:color="auto"/>
              </w:divBdr>
            </w:div>
            <w:div w:id="976765557">
              <w:marLeft w:val="0"/>
              <w:marRight w:val="0"/>
              <w:marTop w:val="166"/>
              <w:marBottom w:val="166"/>
              <w:divBdr>
                <w:top w:val="none" w:sz="0" w:space="0" w:color="auto"/>
                <w:left w:val="none" w:sz="0" w:space="0" w:color="auto"/>
                <w:bottom w:val="none" w:sz="0" w:space="0" w:color="auto"/>
                <w:right w:val="none" w:sz="0" w:space="0" w:color="auto"/>
              </w:divBdr>
            </w:div>
            <w:div w:id="213154261">
              <w:marLeft w:val="0"/>
              <w:marRight w:val="0"/>
              <w:marTop w:val="166"/>
              <w:marBottom w:val="166"/>
              <w:divBdr>
                <w:top w:val="none" w:sz="0" w:space="0" w:color="auto"/>
                <w:left w:val="none" w:sz="0" w:space="0" w:color="auto"/>
                <w:bottom w:val="none" w:sz="0" w:space="0" w:color="auto"/>
                <w:right w:val="none" w:sz="0" w:space="0" w:color="auto"/>
              </w:divBdr>
            </w:div>
            <w:div w:id="331447198">
              <w:marLeft w:val="0"/>
              <w:marRight w:val="0"/>
              <w:marTop w:val="166"/>
              <w:marBottom w:val="166"/>
              <w:divBdr>
                <w:top w:val="none" w:sz="0" w:space="0" w:color="auto"/>
                <w:left w:val="none" w:sz="0" w:space="0" w:color="auto"/>
                <w:bottom w:val="none" w:sz="0" w:space="0" w:color="auto"/>
                <w:right w:val="none" w:sz="0" w:space="0" w:color="auto"/>
              </w:divBdr>
            </w:div>
            <w:div w:id="168713658">
              <w:marLeft w:val="0"/>
              <w:marRight w:val="0"/>
              <w:marTop w:val="166"/>
              <w:marBottom w:val="166"/>
              <w:divBdr>
                <w:top w:val="none" w:sz="0" w:space="0" w:color="auto"/>
                <w:left w:val="none" w:sz="0" w:space="0" w:color="auto"/>
                <w:bottom w:val="none" w:sz="0" w:space="0" w:color="auto"/>
                <w:right w:val="none" w:sz="0" w:space="0" w:color="auto"/>
              </w:divBdr>
            </w:div>
            <w:div w:id="1604650926">
              <w:marLeft w:val="0"/>
              <w:marRight w:val="0"/>
              <w:marTop w:val="166"/>
              <w:marBottom w:val="166"/>
              <w:divBdr>
                <w:top w:val="none" w:sz="0" w:space="0" w:color="auto"/>
                <w:left w:val="none" w:sz="0" w:space="0" w:color="auto"/>
                <w:bottom w:val="none" w:sz="0" w:space="0" w:color="auto"/>
                <w:right w:val="none" w:sz="0" w:space="0" w:color="auto"/>
              </w:divBdr>
            </w:div>
            <w:div w:id="511459567">
              <w:marLeft w:val="0"/>
              <w:marRight w:val="0"/>
              <w:marTop w:val="166"/>
              <w:marBottom w:val="166"/>
              <w:divBdr>
                <w:top w:val="none" w:sz="0" w:space="0" w:color="auto"/>
                <w:left w:val="none" w:sz="0" w:space="0" w:color="auto"/>
                <w:bottom w:val="none" w:sz="0" w:space="0" w:color="auto"/>
                <w:right w:val="none" w:sz="0" w:space="0" w:color="auto"/>
              </w:divBdr>
            </w:div>
            <w:div w:id="902448138">
              <w:marLeft w:val="0"/>
              <w:marRight w:val="0"/>
              <w:marTop w:val="166"/>
              <w:marBottom w:val="166"/>
              <w:divBdr>
                <w:top w:val="none" w:sz="0" w:space="0" w:color="auto"/>
                <w:left w:val="none" w:sz="0" w:space="0" w:color="auto"/>
                <w:bottom w:val="none" w:sz="0" w:space="0" w:color="auto"/>
                <w:right w:val="none" w:sz="0" w:space="0" w:color="auto"/>
              </w:divBdr>
            </w:div>
            <w:div w:id="1387492622">
              <w:marLeft w:val="0"/>
              <w:marRight w:val="0"/>
              <w:marTop w:val="166"/>
              <w:marBottom w:val="166"/>
              <w:divBdr>
                <w:top w:val="none" w:sz="0" w:space="0" w:color="auto"/>
                <w:left w:val="none" w:sz="0" w:space="0" w:color="auto"/>
                <w:bottom w:val="none" w:sz="0" w:space="0" w:color="auto"/>
                <w:right w:val="none" w:sz="0" w:space="0" w:color="auto"/>
              </w:divBdr>
            </w:div>
            <w:div w:id="840848810">
              <w:marLeft w:val="0"/>
              <w:marRight w:val="0"/>
              <w:marTop w:val="166"/>
              <w:marBottom w:val="166"/>
              <w:divBdr>
                <w:top w:val="none" w:sz="0" w:space="0" w:color="auto"/>
                <w:left w:val="none" w:sz="0" w:space="0" w:color="auto"/>
                <w:bottom w:val="none" w:sz="0" w:space="0" w:color="auto"/>
                <w:right w:val="none" w:sz="0" w:space="0" w:color="auto"/>
              </w:divBdr>
            </w:div>
            <w:div w:id="2063862137">
              <w:marLeft w:val="0"/>
              <w:marRight w:val="0"/>
              <w:marTop w:val="166"/>
              <w:marBottom w:val="166"/>
              <w:divBdr>
                <w:top w:val="none" w:sz="0" w:space="0" w:color="auto"/>
                <w:left w:val="none" w:sz="0" w:space="0" w:color="auto"/>
                <w:bottom w:val="none" w:sz="0" w:space="0" w:color="auto"/>
                <w:right w:val="none" w:sz="0" w:space="0" w:color="auto"/>
              </w:divBdr>
            </w:div>
            <w:div w:id="2038189625">
              <w:marLeft w:val="0"/>
              <w:marRight w:val="0"/>
              <w:marTop w:val="166"/>
              <w:marBottom w:val="166"/>
              <w:divBdr>
                <w:top w:val="none" w:sz="0" w:space="0" w:color="auto"/>
                <w:left w:val="none" w:sz="0" w:space="0" w:color="auto"/>
                <w:bottom w:val="none" w:sz="0" w:space="0" w:color="auto"/>
                <w:right w:val="none" w:sz="0" w:space="0" w:color="auto"/>
              </w:divBdr>
            </w:div>
            <w:div w:id="15280944">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3485562/bin/mmc1.doc" TargetMode="External"/><Relationship Id="rId21" Type="http://schemas.openxmlformats.org/officeDocument/2006/relationships/hyperlink" Target="https://www.ncbi.nlm.nih.gov/pmc/articles/PMC3485562/" TargetMode="External"/><Relationship Id="rId42" Type="http://schemas.openxmlformats.org/officeDocument/2006/relationships/hyperlink" Target="https://www.ncbi.nlm.nih.gov/pmc/articles/PMC3485562/" TargetMode="External"/><Relationship Id="rId63" Type="http://schemas.openxmlformats.org/officeDocument/2006/relationships/hyperlink" Target="https://www.ncbi.nlm.nih.gov/core/lw/2.0/html/tileshop_pmc/tileshop_pmc_inline.html?title=Click%20on%20image%20to%20zoom&amp;p=PMC3&amp;id=3485562_gr2.jpg" TargetMode="External"/><Relationship Id="rId84" Type="http://schemas.openxmlformats.org/officeDocument/2006/relationships/hyperlink" Target="https://www.ncbi.nlm.nih.gov/pmc/articles/PMC3485562/" TargetMode="External"/><Relationship Id="rId138" Type="http://schemas.openxmlformats.org/officeDocument/2006/relationships/hyperlink" Target="https://scholar.google.com/scholar_lookup?journal=Schizophr.+Res.&amp;title=Cognitive+performance+in+schizophrenia+patients+assessed+before+and+following+the+first+psychotic+episode&amp;author=A.+Caspi&amp;author=A.+Reichenberg&amp;author=M.+Weiser&amp;author=J.+Rabinowitz&amp;author=Z.+Kaplan&amp;volume=65&amp;issue=2%E2%80%933&amp;publication_year=2003&amp;pages=87-94&amp;pmid=14630301&amp;" TargetMode="External"/><Relationship Id="rId159" Type="http://schemas.openxmlformats.org/officeDocument/2006/relationships/hyperlink" Target="https://scholar.google.com/scholar_lookup?journal=Lancet&amp;title=Pathological+correlates+of+late-onset+dementia+in+a+multicentre,+community-based+population+in+England+and+Wales&amp;author=P.G.+Ince&amp;volume=357&amp;issue=9251&amp;publication_year=2001&amp;pages=169-175&amp;pmid=11213093&amp;" TargetMode="External"/><Relationship Id="rId170" Type="http://schemas.openxmlformats.org/officeDocument/2006/relationships/hyperlink" Target="https://www.ncbi.nlm.nih.gov/pubmed/16260814" TargetMode="External"/><Relationship Id="rId191" Type="http://schemas.openxmlformats.org/officeDocument/2006/relationships/hyperlink" Target="https://scholar.google.com/scholar_lookup?journal=Proc.+Natl.+Acad.+Sci.+U.+S.+A.&amp;title=Fronto-cerebellar+systems+are+associated+with+infant+motor+and+adult+executive+functions+in+healthy+adults+but+not+in+schizophrenia&amp;author=K.+Ridler&amp;author=J.M.+Veijola&amp;author=P.+Tanskanen&amp;author=J.+Miettunen&amp;author=X.+Chitnis&amp;volume=103&amp;issue=42&amp;publication_year=2006&amp;pages=15651-15656&amp;pmid=17028177&amp;" TargetMode="External"/><Relationship Id="rId205" Type="http://schemas.openxmlformats.org/officeDocument/2006/relationships/hyperlink" Target="https://www.ncbi.nlm.nih.gov/pubmed/3606332" TargetMode="External"/><Relationship Id="rId107" Type="http://schemas.openxmlformats.org/officeDocument/2006/relationships/hyperlink" Target="https://www.ncbi.nlm.nih.gov/pmc/articles/PMC3485562/figure/f0010/" TargetMode="External"/><Relationship Id="rId11" Type="http://schemas.openxmlformats.org/officeDocument/2006/relationships/hyperlink" Target="https://www.ncbi.nlm.nih.gov/pmc/about/disclaimer/" TargetMode="External"/><Relationship Id="rId32" Type="http://schemas.openxmlformats.org/officeDocument/2006/relationships/hyperlink" Target="https://www.ncbi.nlm.nih.gov/pmc/articles/PMC3485562/" TargetMode="External"/><Relationship Id="rId53" Type="http://schemas.openxmlformats.org/officeDocument/2006/relationships/hyperlink" Target="https://www.ncbi.nlm.nih.gov/pmc/articles/PMC3485562/" TargetMode="External"/><Relationship Id="rId74" Type="http://schemas.openxmlformats.org/officeDocument/2006/relationships/hyperlink" Target="https://www.ncbi.nlm.nih.gov/pmc/articles/PMC3485562/" TargetMode="External"/><Relationship Id="rId128" Type="http://schemas.openxmlformats.org/officeDocument/2006/relationships/hyperlink" Target="https://www.ncbi.nlm.nih.gov/pubmed/16854246" TargetMode="External"/><Relationship Id="rId149" Type="http://schemas.openxmlformats.org/officeDocument/2006/relationships/hyperlink" Target="https://scholar.google.com/scholar?q=Gottesman+I.I.+Sheilds+J.+Schizophrenia:+the+Epigenetic+Puzzle+1982+Cambridge+University+Press+New+York+" TargetMode="External"/><Relationship Id="rId5" Type="http://schemas.openxmlformats.org/officeDocument/2006/relationships/hyperlink" Target="https://www.ncbi.nlm.nih.gov/pubmed/?term=Barnett%20JH%5BAuthor%5D&amp;cauthor=true&amp;cauthor_uid=21764562" TargetMode="External"/><Relationship Id="rId95" Type="http://schemas.openxmlformats.org/officeDocument/2006/relationships/hyperlink" Target="https://www.ncbi.nlm.nih.gov/pmc/articles/PMC3485562/" TargetMode="External"/><Relationship Id="rId160" Type="http://schemas.openxmlformats.org/officeDocument/2006/relationships/hyperlink" Target="https://www.ncbi.nlm.nih.gov/pubmed/7968076" TargetMode="External"/><Relationship Id="rId181" Type="http://schemas.openxmlformats.org/officeDocument/2006/relationships/hyperlink" Target="https://www.ncbi.nlm.nih.gov/pubmed/17344025" TargetMode="External"/><Relationship Id="rId216" Type="http://schemas.openxmlformats.org/officeDocument/2006/relationships/fontTable" Target="fontTable.xml"/><Relationship Id="rId22" Type="http://schemas.openxmlformats.org/officeDocument/2006/relationships/hyperlink" Target="https://www.ncbi.nlm.nih.gov/pmc/articles/PMC3485562/" TargetMode="External"/><Relationship Id="rId43" Type="http://schemas.openxmlformats.org/officeDocument/2006/relationships/hyperlink" Target="https://www.ncbi.nlm.nih.gov/pmc/articles/PMC3485562/" TargetMode="External"/><Relationship Id="rId64" Type="http://schemas.openxmlformats.org/officeDocument/2006/relationships/hyperlink" Target="https://www.ncbi.nlm.nih.gov/pmc/articles/PMC3485562/figure/f0010/" TargetMode="External"/><Relationship Id="rId118" Type="http://schemas.openxmlformats.org/officeDocument/2006/relationships/hyperlink" Target="https://www.ncbi.nlm.nih.gov/pmc/articles/PMC3485562/" TargetMode="External"/><Relationship Id="rId139" Type="http://schemas.openxmlformats.org/officeDocument/2006/relationships/hyperlink" Target="https://www.ncbi.nlm.nih.gov/pubmed/7654790" TargetMode="External"/><Relationship Id="rId85" Type="http://schemas.openxmlformats.org/officeDocument/2006/relationships/hyperlink" Target="https://www.ncbi.nlm.nih.gov/pmc/articles/PMC3485562/" TargetMode="External"/><Relationship Id="rId150" Type="http://schemas.openxmlformats.org/officeDocument/2006/relationships/hyperlink" Target="https://www.ncbi.nlm.nih.gov/pubmed/12356656" TargetMode="External"/><Relationship Id="rId171" Type="http://schemas.openxmlformats.org/officeDocument/2006/relationships/hyperlink" Target="https://scholar.google.com/scholar_lookup?journal=Br.+J.+Psychiatry.&amp;title=IQ+and+mental+disorder+in+young+men&amp;author=E.L.+Mortensen&amp;author=H.J.+Sorensen&amp;author=H.H.+Jensen&amp;author=J.M.+Reinisch&amp;author=S.A.+Mednick&amp;volume=187&amp;publication_year=2005&amp;pages=407-415&amp;pmid=16260814&amp;" TargetMode="External"/><Relationship Id="rId192" Type="http://schemas.openxmlformats.org/officeDocument/2006/relationships/hyperlink" Target="https://www.ncbi.nlm.nih.gov/pubmed/16484095" TargetMode="External"/><Relationship Id="rId206" Type="http://schemas.openxmlformats.org/officeDocument/2006/relationships/hyperlink" Target="https://scholar.google.com/scholar_lookup?journal=Arch.+Gen.+Psychiatry.&amp;title=Implications+of+normal+brain+development+for+the+pathogenesis+of+schizophrenia&amp;author=D.R.+Weinberger&amp;volume=44&amp;issue=7&amp;publication_year=1987&amp;pages=660-669&amp;pmid=3606332&amp;" TargetMode="External"/><Relationship Id="rId12" Type="http://schemas.openxmlformats.org/officeDocument/2006/relationships/hyperlink" Target="https://www.ncbi.nlm.nih.gov/pmc/articles/PMC3485562/citedby/" TargetMode="External"/><Relationship Id="rId33" Type="http://schemas.openxmlformats.org/officeDocument/2006/relationships/hyperlink" Target="https://www.ncbi.nlm.nih.gov/pmc/articles/PMC3485562/" TargetMode="External"/><Relationship Id="rId108" Type="http://schemas.openxmlformats.org/officeDocument/2006/relationships/hyperlink" Target="https://www.ncbi.nlm.nih.gov/pmc/articles/PMC3485562/" TargetMode="External"/><Relationship Id="rId129" Type="http://schemas.openxmlformats.org/officeDocument/2006/relationships/hyperlink" Target="https://scholar.google.com/scholar_lookup?journal=Psychol.+Med.&amp;title=Cognitive+reserve+in+neuropsychiatry&amp;author=J.H.+Barnett&amp;author=C.H.+Salmond&amp;author=P.B.+Jones&amp;author=B.J.+Sahakian&amp;volume=36&amp;issue=8&amp;publication_year=2006&amp;pages=1053-1064&amp;pmid=16854246&amp;" TargetMode="External"/><Relationship Id="rId54" Type="http://schemas.openxmlformats.org/officeDocument/2006/relationships/hyperlink" Target="https://www.ncbi.nlm.nih.gov/pmc/articles/PMC3485562/table/t0005/?report=objectonly" TargetMode="External"/><Relationship Id="rId75" Type="http://schemas.openxmlformats.org/officeDocument/2006/relationships/hyperlink" Target="https://www.ncbi.nlm.nih.gov/pmc/articles/PMC3485562/" TargetMode="External"/><Relationship Id="rId96" Type="http://schemas.openxmlformats.org/officeDocument/2006/relationships/hyperlink" Target="https://www.ncbi.nlm.nih.gov/pmc/articles/PMC3485562/" TargetMode="External"/><Relationship Id="rId140" Type="http://schemas.openxmlformats.org/officeDocument/2006/relationships/hyperlink" Target="https://scholar.google.com/scholar_lookup?journal=Eur.+Arch.+Psychiatry+Clin.+Neurosci.&amp;title=Childhood+precursors+of+psychosis+as+clues+to+its+evolutionary+origins&amp;author=T.J.+Crow&amp;author=D.J.+Done&amp;author=A.+Sacker&amp;volume=245&amp;issue=2&amp;publication_year=1995&amp;pages=61-69&amp;pmid=7654790&amp;" TargetMode="External"/><Relationship Id="rId161" Type="http://schemas.openxmlformats.org/officeDocument/2006/relationships/hyperlink" Target="https://scholar.google.com/scholar_lookup?journal=Lancet&amp;title=Child+development+risk+factors+for+adult+schizophrenia+in+the+British+1946+birth+cohort&amp;author=P.+Jones&amp;author=B.+Rodgers&amp;author=R.+Murray&amp;author=M.+Marmot&amp;volume=344&amp;issue=8934&amp;publication_year=1994&amp;pages=1398-1402&amp;pmid=7968076&amp;" TargetMode="External"/><Relationship Id="rId182" Type="http://schemas.openxmlformats.org/officeDocument/2006/relationships/hyperlink" Target="https://scholar.google.com/scholar_lookup?journal=Schizophr.+Res.&amp;title=Cognitive+function+in+childhood+and+early+adulthood+and+hospital+admission+for+schizophrenia+and+bipolar+disorders+in+Danish+men+born+in+1953&amp;author=M.+Osler&amp;author=D.A.+Lawlor&amp;author=M.+Nordentoft&amp;volume=92&amp;issue=1%E2%80%933&amp;publication_year=2007&amp;pages=132-141&amp;pmid=17344025&amp;" TargetMode="External"/><Relationship Id="rId217" Type="http://schemas.openxmlformats.org/officeDocument/2006/relationships/theme" Target="theme/theme1.xml"/><Relationship Id="rId6" Type="http://schemas.openxmlformats.org/officeDocument/2006/relationships/hyperlink" Target="https://www.ncbi.nlm.nih.gov/pubmed/?term=White%20IR%5BAuthor%5D&amp;cauthor=true&amp;cauthor_uid=21764562" TargetMode="External"/><Relationship Id="rId23" Type="http://schemas.openxmlformats.org/officeDocument/2006/relationships/hyperlink" Target="https://www.ncbi.nlm.nih.gov/pmc/articles/PMC3485562/" TargetMode="External"/><Relationship Id="rId119" Type="http://schemas.openxmlformats.org/officeDocument/2006/relationships/hyperlink" Target="https://www.ncbi.nlm.nih.gov/pmc/articles/PMC3485562/" TargetMode="External"/><Relationship Id="rId44" Type="http://schemas.openxmlformats.org/officeDocument/2006/relationships/hyperlink" Target="https://www.ncbi.nlm.nih.gov/pmc/articles/PMC3485562/" TargetMode="External"/><Relationship Id="rId65" Type="http://schemas.openxmlformats.org/officeDocument/2006/relationships/hyperlink" Target="https://www.ncbi.nlm.nih.gov/pmc/articles/PMC3485562/" TargetMode="External"/><Relationship Id="rId86" Type="http://schemas.openxmlformats.org/officeDocument/2006/relationships/hyperlink" Target="https://www.ncbi.nlm.nih.gov/pmc/articles/PMC3485562/" TargetMode="External"/><Relationship Id="rId130" Type="http://schemas.openxmlformats.org/officeDocument/2006/relationships/hyperlink" Target="https://scholar.google.com/scholar?q=Belenky+M.+Tarule+J.+Goldberger+N.+Women%27s+Ways+of+Knowing+1986+Basic+Books+New+York+" TargetMode="External"/><Relationship Id="rId151" Type="http://schemas.openxmlformats.org/officeDocument/2006/relationships/hyperlink" Target="https://scholar.google.com/scholar_lookup?journal=Br.+J.+Psychiatry.&amp;title=Associations+between+premorbid+intellectual+performance,+early-life+exposures+and+early-onset+schizophrenia.+Cohort+study&amp;author=D.+Gunnell&amp;author=G.+Harrison&amp;author=F.+Rasmussen&amp;author=D.+Fouskakis&amp;author=P.+Tynelius&amp;volume=181&amp;publication_year=2002&amp;pages=298-305&amp;pmid=12356656&amp;" TargetMode="External"/><Relationship Id="rId172" Type="http://schemas.openxmlformats.org/officeDocument/2006/relationships/hyperlink" Target="https://www.ncbi.nlm.nih.gov/pmc/articles/PMC1247717/" TargetMode="External"/><Relationship Id="rId193" Type="http://schemas.openxmlformats.org/officeDocument/2006/relationships/hyperlink" Target="https://scholar.google.com/scholar_lookup?journal=J.+Clin.+Exp.+Neuropsychol.&amp;title=Intellectual+decline+in+schizophrenia:+evidence+from+a+prospective+birth+cohort+28%C2%A0year+follow-up+study&amp;author=L.J.+Seidman&amp;author=S.L.+Buka&amp;author=J.M.+Goldstein&amp;author=M.T.+Tsuang&amp;volume=28&amp;issue=2&amp;publication_year=2006&amp;pages=225-242&amp;pmid=16484095&amp;" TargetMode="External"/><Relationship Id="rId207" Type="http://schemas.openxmlformats.org/officeDocument/2006/relationships/hyperlink" Target="https://www.ncbi.nlm.nih.gov/pubmed/7544856" TargetMode="External"/><Relationship Id="rId13" Type="http://schemas.openxmlformats.org/officeDocument/2006/relationships/hyperlink" Target="https://www.ncbi.nlm.nih.gov/pmc/articles/PMC3485562/" TargetMode="External"/><Relationship Id="rId109" Type="http://schemas.openxmlformats.org/officeDocument/2006/relationships/hyperlink" Target="https://www.ncbi.nlm.nih.gov/pmc/articles/PMC3485562/" TargetMode="External"/><Relationship Id="rId34" Type="http://schemas.openxmlformats.org/officeDocument/2006/relationships/hyperlink" Target="https://www.ncbi.nlm.nih.gov/pmc/articles/PMC3485562/" TargetMode="External"/><Relationship Id="rId55" Type="http://schemas.openxmlformats.org/officeDocument/2006/relationships/hyperlink" Target="https://www.ncbi.nlm.nih.gov/pmc/articles/PMC3485562/" TargetMode="External"/><Relationship Id="rId76" Type="http://schemas.openxmlformats.org/officeDocument/2006/relationships/hyperlink" Target="https://www.ncbi.nlm.nih.gov/pmc/articles/PMC3485562/" TargetMode="External"/><Relationship Id="rId97" Type="http://schemas.openxmlformats.org/officeDocument/2006/relationships/hyperlink" Target="https://www.ncbi.nlm.nih.gov/pmc/articles/PMC3485562/" TargetMode="External"/><Relationship Id="rId120" Type="http://schemas.openxmlformats.org/officeDocument/2006/relationships/hyperlink" Target="https://www.ncbi.nlm.nih.gov/pmc/articles/PMC3485562/" TargetMode="External"/><Relationship Id="rId141" Type="http://schemas.openxmlformats.org/officeDocument/2006/relationships/hyperlink" Target="https://www.ncbi.nlm.nih.gov/pubmed/9403903" TargetMode="External"/><Relationship Id="rId7" Type="http://schemas.openxmlformats.org/officeDocument/2006/relationships/hyperlink" Target="https://www.ncbi.nlm.nih.gov/pubmed/?term=Jones%20PB%5BAuthor%5D&amp;cauthor=true&amp;cauthor_uid=21764562" TargetMode="External"/><Relationship Id="rId162" Type="http://schemas.openxmlformats.org/officeDocument/2006/relationships/hyperlink" Target="https://www.ncbi.nlm.nih.gov/pubmed/16520429" TargetMode="External"/><Relationship Id="rId183" Type="http://schemas.openxmlformats.org/officeDocument/2006/relationships/hyperlink" Target="https://www.ncbi.nlm.nih.gov/pubmed/14433838" TargetMode="External"/><Relationship Id="rId24" Type="http://schemas.openxmlformats.org/officeDocument/2006/relationships/hyperlink" Target="https://www.ncbi.nlm.nih.gov/pmc/articles/PMC3485562/" TargetMode="External"/><Relationship Id="rId45" Type="http://schemas.openxmlformats.org/officeDocument/2006/relationships/hyperlink" Target="https://www.ncbi.nlm.nih.gov/pmc/articles/PMC3485562/" TargetMode="External"/><Relationship Id="rId66" Type="http://schemas.openxmlformats.org/officeDocument/2006/relationships/hyperlink" Target="https://www.ncbi.nlm.nih.gov/pmc/articles/PMC3485562/" TargetMode="External"/><Relationship Id="rId87" Type="http://schemas.openxmlformats.org/officeDocument/2006/relationships/hyperlink" Target="https://www.ncbi.nlm.nih.gov/pmc/articles/PMC3485562/" TargetMode="External"/><Relationship Id="rId110" Type="http://schemas.openxmlformats.org/officeDocument/2006/relationships/hyperlink" Target="https://www.ncbi.nlm.nih.gov/pmc/articles/PMC3485562/" TargetMode="External"/><Relationship Id="rId131" Type="http://schemas.openxmlformats.org/officeDocument/2006/relationships/hyperlink" Target="https://www.ncbi.nlm.nih.gov/pubmed/15625204" TargetMode="External"/><Relationship Id="rId152" Type="http://schemas.openxmlformats.org/officeDocument/2006/relationships/hyperlink" Target="https://www.ncbi.nlm.nih.gov/pmc/articles/PMC192859/" TargetMode="External"/><Relationship Id="rId173" Type="http://schemas.openxmlformats.org/officeDocument/2006/relationships/hyperlink" Target="https://www.ncbi.nlm.nih.gov/pubmed/3117295" TargetMode="External"/><Relationship Id="rId194" Type="http://schemas.openxmlformats.org/officeDocument/2006/relationships/hyperlink" Target="https://www.ncbi.nlm.nih.gov/pubmed/11939702" TargetMode="External"/><Relationship Id="rId208" Type="http://schemas.openxmlformats.org/officeDocument/2006/relationships/hyperlink" Target="https://scholar.google.com/scholar_lookup?journal=Lancet&amp;title=From+neuropathology+to+neurodevelopment&amp;author=D.R.+Weinberger&amp;volume=346&amp;issue=8974&amp;publication_year=1995&amp;pages=552-557&amp;pmid=7544856&amp;" TargetMode="External"/><Relationship Id="rId14" Type="http://schemas.openxmlformats.org/officeDocument/2006/relationships/hyperlink" Target="https://www.ncbi.nlm.nih.gov/pmc/articles/PMC3485562/" TargetMode="External"/><Relationship Id="rId30" Type="http://schemas.openxmlformats.org/officeDocument/2006/relationships/hyperlink" Target="https://www.ncbi.nlm.nih.gov/pmc/articles/PMC3485562/" TargetMode="External"/><Relationship Id="rId35" Type="http://schemas.openxmlformats.org/officeDocument/2006/relationships/hyperlink" Target="https://www.ncbi.nlm.nih.gov/pmc/articles/PMC3485562/" TargetMode="External"/><Relationship Id="rId56" Type="http://schemas.openxmlformats.org/officeDocument/2006/relationships/hyperlink" Target="https://www.ncbi.nlm.nih.gov/pmc/articles/PMC3485562/" TargetMode="External"/><Relationship Id="rId77" Type="http://schemas.openxmlformats.org/officeDocument/2006/relationships/hyperlink" Target="https://www.ncbi.nlm.nih.gov/pmc/articles/PMC3485562/" TargetMode="External"/><Relationship Id="rId100" Type="http://schemas.openxmlformats.org/officeDocument/2006/relationships/hyperlink" Target="https://www.ncbi.nlm.nih.gov/pmc/articles/PMC3485562/" TargetMode="External"/><Relationship Id="rId105" Type="http://schemas.openxmlformats.org/officeDocument/2006/relationships/hyperlink" Target="https://www.ncbi.nlm.nih.gov/pmc/articles/PMC3485562/" TargetMode="External"/><Relationship Id="rId126" Type="http://schemas.openxmlformats.org/officeDocument/2006/relationships/hyperlink" Target="https://www.ncbi.nlm.nih.gov/pubmed/6382590" TargetMode="External"/><Relationship Id="rId147" Type="http://schemas.openxmlformats.org/officeDocument/2006/relationships/hyperlink" Target="https://scholar.google.com/scholar_lookup?journal=BMJ&amp;title=Bias+in+meta-analysis+detected+by+a+simple,+graphical+test&amp;author=M.+Egger&amp;author=G.+Davey+Smith&amp;author=M.+Schneider&amp;author=C.+Minder&amp;volume=315&amp;issue=7109&amp;publication_year=1997&amp;pages=629-634&amp;pmid=9310563&amp;" TargetMode="External"/><Relationship Id="rId168" Type="http://schemas.openxmlformats.org/officeDocument/2006/relationships/hyperlink" Target="https://www.ncbi.nlm.nih.gov/pubmed/14467044" TargetMode="External"/><Relationship Id="rId8" Type="http://schemas.openxmlformats.org/officeDocument/2006/relationships/hyperlink" Target="https://www.ncbi.nlm.nih.gov/pmc/articles/PMC3485562/" TargetMode="External"/><Relationship Id="rId51" Type="http://schemas.openxmlformats.org/officeDocument/2006/relationships/hyperlink" Target="https://www.ncbi.nlm.nih.gov/pmc/articles/PMC3485562/" TargetMode="External"/><Relationship Id="rId72" Type="http://schemas.openxmlformats.org/officeDocument/2006/relationships/hyperlink" Target="https://www.ncbi.nlm.nih.gov/pmc/articles/PMC3485562/" TargetMode="External"/><Relationship Id="rId93" Type="http://schemas.openxmlformats.org/officeDocument/2006/relationships/hyperlink" Target="https://www.ncbi.nlm.nih.gov/pmc/articles/PMC3485562/" TargetMode="External"/><Relationship Id="rId98" Type="http://schemas.openxmlformats.org/officeDocument/2006/relationships/hyperlink" Target="https://www.ncbi.nlm.nih.gov/pmc/articles/PMC3485562/" TargetMode="External"/><Relationship Id="rId121" Type="http://schemas.openxmlformats.org/officeDocument/2006/relationships/hyperlink" Target="https://www.ncbi.nlm.nih.gov/pmc/articles/PMC3485562/" TargetMode="External"/><Relationship Id="rId142" Type="http://schemas.openxmlformats.org/officeDocument/2006/relationships/hyperlink" Target="https://scholar.google.com/scholar_lookup?journal=Psychol.+Med.&amp;title=IQ+and+risk+for+schizophrenia:+a+population-based+cohort+study&amp;author=A.S.+David&amp;author=A.+Malmberg&amp;author=L.+Brandt&amp;author=P.+Allebeck&amp;author=G.+Lewis&amp;volume=27&amp;issue=6&amp;publication_year=1997&amp;pages=1311-1323&amp;pmid=9403903&amp;" TargetMode="External"/><Relationship Id="rId163" Type="http://schemas.openxmlformats.org/officeDocument/2006/relationships/hyperlink" Target="https://scholar.google.com/scholar_lookup?journal=Arch.+Gen.+Psychiatry.&amp;title=Heterogeneity+in+incidence+rates+of+schizophrenia+and+other+psychotic+syndromes:+findings+from+the+3-center+AeSOP+study&amp;author=J.B.+Kirkbride&amp;author=P.+Fearon&amp;author=C.+Morgan&amp;author=P.+Dazzan&amp;author=K.+Morgan&amp;volume=63&amp;issue=3&amp;publication_year=2006&amp;pages=250-258&amp;pmid=16520429&amp;" TargetMode="External"/><Relationship Id="rId184" Type="http://schemas.openxmlformats.org/officeDocument/2006/relationships/hyperlink" Target="https://scholar.google.com/scholar_lookup?journal=Arch.+Gen.+Psychiatry.&amp;title=Comparison+of+childhood,+adolescent,+and+adult+schizophrenias.+Etiologic+significance+of+intellectual+functioning&amp;author=M.+Pollack&amp;volume=2&amp;publication_year=1960&amp;pages=652-660&amp;" TargetMode="External"/><Relationship Id="rId189" Type="http://schemas.openxmlformats.org/officeDocument/2006/relationships/hyperlink" Target="https://www.ncbi.nlm.nih.gov/pmc/articles/PMC1636802/" TargetMode="External"/><Relationship Id="rId3" Type="http://schemas.openxmlformats.org/officeDocument/2006/relationships/webSettings" Target="webSettings.xml"/><Relationship Id="rId214" Type="http://schemas.openxmlformats.org/officeDocument/2006/relationships/hyperlink" Target="https://www.ncbi.nlm.nih.gov/pubmed/15066893" TargetMode="External"/><Relationship Id="rId25" Type="http://schemas.openxmlformats.org/officeDocument/2006/relationships/hyperlink" Target="https://www.ncbi.nlm.nih.gov/pmc/articles/PMC3485562/" TargetMode="External"/><Relationship Id="rId46" Type="http://schemas.openxmlformats.org/officeDocument/2006/relationships/hyperlink" Target="https://www.ncbi.nlm.nih.gov/pmc/articles/PMC3485562/" TargetMode="External"/><Relationship Id="rId67" Type="http://schemas.openxmlformats.org/officeDocument/2006/relationships/hyperlink" Target="https://www.ncbi.nlm.nih.gov/pmc/articles/PMC3485562/" TargetMode="External"/><Relationship Id="rId116" Type="http://schemas.openxmlformats.org/officeDocument/2006/relationships/hyperlink" Target="https://www.ncbi.nlm.nih.gov/pmc/articles/PMC3485562/" TargetMode="External"/><Relationship Id="rId137" Type="http://schemas.openxmlformats.org/officeDocument/2006/relationships/hyperlink" Target="https://www.ncbi.nlm.nih.gov/pubmed/14630301" TargetMode="External"/><Relationship Id="rId158" Type="http://schemas.openxmlformats.org/officeDocument/2006/relationships/hyperlink" Target="https://www.ncbi.nlm.nih.gov/pubmed/11213093" TargetMode="External"/><Relationship Id="rId20" Type="http://schemas.openxmlformats.org/officeDocument/2006/relationships/hyperlink" Target="https://www.ncbi.nlm.nih.gov/pmc/articles/PMC3485562/" TargetMode="External"/><Relationship Id="rId41" Type="http://schemas.openxmlformats.org/officeDocument/2006/relationships/hyperlink" Target="https://www.ncbi.nlm.nih.gov/pmc/articles/PMC3485562/" TargetMode="External"/><Relationship Id="rId62" Type="http://schemas.openxmlformats.org/officeDocument/2006/relationships/hyperlink" Target="https://www.ncbi.nlm.nih.gov/pmc/articles/PMC3485562/figure/f0010/" TargetMode="External"/><Relationship Id="rId83" Type="http://schemas.openxmlformats.org/officeDocument/2006/relationships/hyperlink" Target="https://www.ncbi.nlm.nih.gov/pmc/articles/PMC3485562/figure/f0015/" TargetMode="External"/><Relationship Id="rId88" Type="http://schemas.openxmlformats.org/officeDocument/2006/relationships/hyperlink" Target="https://www.ncbi.nlm.nih.gov/pmc/articles/PMC3485562/" TargetMode="External"/><Relationship Id="rId111" Type="http://schemas.openxmlformats.org/officeDocument/2006/relationships/hyperlink" Target="https://www.ncbi.nlm.nih.gov/pmc/articles/PMC3485562/" TargetMode="External"/><Relationship Id="rId132" Type="http://schemas.openxmlformats.org/officeDocument/2006/relationships/hyperlink" Target="https://scholar.google.com/scholar_lookup?journal=Am.+J.+Psychiatry.&amp;title=Memory+impairments+identified+in+people+at+ultra-high+risk+for+psychosis+who+later+develop+first-episode+psychosis&amp;author=W.J.+Brewer&amp;author=S.M.+Francey&amp;author=S.J.+Wood&amp;author=H.J.+Jackson&amp;author=C.+Pantelis&amp;volume=162&amp;issue=1&amp;publication_year=2005&amp;pages=71-78&amp;pmid=15625204&amp;" TargetMode="External"/><Relationship Id="rId153" Type="http://schemas.openxmlformats.org/officeDocument/2006/relationships/hyperlink" Target="https://www.ncbi.nlm.nih.gov/pubmed/12958120" TargetMode="External"/><Relationship Id="rId174" Type="http://schemas.openxmlformats.org/officeDocument/2006/relationships/hyperlink" Target="https://scholar.google.com/scholar_lookup?journal=Br.+Med.+J.+(Clin.+Res.+Ed.)&amp;title=Is+schizophrenia+a+neurodevelopmental+disorder?&amp;author=R.M.+Murray&amp;author=S.W.+Lewis&amp;volume=295&amp;issue=6600&amp;publication_year=1987&amp;pages=681-682&amp;" TargetMode="External"/><Relationship Id="rId179" Type="http://schemas.openxmlformats.org/officeDocument/2006/relationships/hyperlink" Target="https://www.ncbi.nlm.nih.gov/pubmed/5581267" TargetMode="External"/><Relationship Id="rId195" Type="http://schemas.openxmlformats.org/officeDocument/2006/relationships/hyperlink" Target="https://scholar.google.com/scholar_lookup?journal=J.+Int.+Neuropsychol.+Soc.&amp;title=What+is+cognitive+reserve?+Theory+and+research+application+of+the+reserve+concept&amp;author=Y.+Stern&amp;volume=8&amp;issue=3&amp;publication_year=2002&amp;pages=448-460&amp;pmid=11939702&amp;" TargetMode="External"/><Relationship Id="rId209" Type="http://schemas.openxmlformats.org/officeDocument/2006/relationships/hyperlink" Target="https://scholar.google.com/scholar_lookup?journal=Stata+J.&amp;title=Multivariate+random-effect+meta-analysis&amp;author=I.R.+White&amp;volume=9&amp;issue=1&amp;publication_year=2008&amp;pages=40-56&amp;" TargetMode="External"/><Relationship Id="rId190" Type="http://schemas.openxmlformats.org/officeDocument/2006/relationships/hyperlink" Target="https://www.ncbi.nlm.nih.gov/pubmed/17028177" TargetMode="External"/><Relationship Id="rId204" Type="http://schemas.openxmlformats.org/officeDocument/2006/relationships/hyperlink" Target="https://scholar.google.com/scholar_lookup?journal=Intelligence&amp;title=Childhood+mental+ability+and+lifetime+psychiatric+contact:+a+66%C2%A0year+follow-up+study+of+the+1932+Scottish+Mental+Ability+Survey&amp;author=N.P.+Walker&amp;author=P.M.+McConville&amp;author=D.+Hunter&amp;author=I.J.+Deary&amp;author=L.J.+Whalley&amp;volume=30&amp;publication_year=2002&amp;pages=233-245&amp;" TargetMode="External"/><Relationship Id="rId15" Type="http://schemas.openxmlformats.org/officeDocument/2006/relationships/hyperlink" Target="https://www.ncbi.nlm.nih.gov/pmc/articles/PMC3485562/" TargetMode="External"/><Relationship Id="rId36" Type="http://schemas.openxmlformats.org/officeDocument/2006/relationships/hyperlink" Target="https://www.ncbi.nlm.nih.gov/pmc/articles/PMC3485562/" TargetMode="External"/><Relationship Id="rId57" Type="http://schemas.openxmlformats.org/officeDocument/2006/relationships/hyperlink" Target="https://www.ncbi.nlm.nih.gov/pmc/articles/PMC3485562/figure/f0005/" TargetMode="External"/><Relationship Id="rId106" Type="http://schemas.openxmlformats.org/officeDocument/2006/relationships/hyperlink" Target="https://www.ncbi.nlm.nih.gov/pmc/articles/PMC3485562/" TargetMode="External"/><Relationship Id="rId127" Type="http://schemas.openxmlformats.org/officeDocument/2006/relationships/hyperlink" Target="https://scholar.google.com/scholar_lookup?journal=Schizophr.+Bull.&amp;title=Intelligence+in+schizophrenia:+meta-analysis+of+the+research&amp;author=E.+Aylward&amp;author=E.+Walker&amp;author=B.+Bettes&amp;volume=10&amp;issue=3&amp;publication_year=1984&amp;pages=430-459&amp;pmid=6382590&amp;" TargetMode="External"/><Relationship Id="rId10" Type="http://schemas.openxmlformats.org/officeDocument/2006/relationships/hyperlink" Target="https://www.ncbi.nlm.nih.gov/pmc/articles/PMC3485562/" TargetMode="External"/><Relationship Id="rId31" Type="http://schemas.openxmlformats.org/officeDocument/2006/relationships/hyperlink" Target="https://www.ncbi.nlm.nih.gov/pmc/articles/PMC3485562/" TargetMode="External"/><Relationship Id="rId52" Type="http://schemas.openxmlformats.org/officeDocument/2006/relationships/hyperlink" Target="https://www.ncbi.nlm.nih.gov/pmc/articles/PMC3485562/" TargetMode="External"/><Relationship Id="rId73" Type="http://schemas.openxmlformats.org/officeDocument/2006/relationships/hyperlink" Target="https://www.ncbi.nlm.nih.gov/pmc/articles/PMC3485562/" TargetMode="External"/><Relationship Id="rId78" Type="http://schemas.openxmlformats.org/officeDocument/2006/relationships/hyperlink" Target="https://www.ncbi.nlm.nih.gov/pmc/articles/PMC3485562/" TargetMode="External"/><Relationship Id="rId94" Type="http://schemas.openxmlformats.org/officeDocument/2006/relationships/hyperlink" Target="https://www.ncbi.nlm.nih.gov/pmc/articles/PMC3485562/" TargetMode="External"/><Relationship Id="rId99" Type="http://schemas.openxmlformats.org/officeDocument/2006/relationships/hyperlink" Target="https://www.ncbi.nlm.nih.gov/pmc/articles/PMC3485562/" TargetMode="External"/><Relationship Id="rId101" Type="http://schemas.openxmlformats.org/officeDocument/2006/relationships/hyperlink" Target="https://www.ncbi.nlm.nih.gov/pmc/articles/PMC3485562/" TargetMode="External"/><Relationship Id="rId122" Type="http://schemas.openxmlformats.org/officeDocument/2006/relationships/hyperlink" Target="https://www.ncbi.nlm.nih.gov/pmc/articles/PMC3485562/" TargetMode="External"/><Relationship Id="rId143" Type="http://schemas.openxmlformats.org/officeDocument/2006/relationships/hyperlink" Target="https://www.ncbi.nlm.nih.gov/pubmed/15985967" TargetMode="External"/><Relationship Id="rId148" Type="http://schemas.openxmlformats.org/officeDocument/2006/relationships/hyperlink" Target="https://scholar.google.com/scholar?q=Egger+M.+Smith+D.G.+Altman+D.G.+Systematic+Reviews+in+Health+Care:+Meta-Analysis+in+Context+2001+BMJ+London+" TargetMode="External"/><Relationship Id="rId164" Type="http://schemas.openxmlformats.org/officeDocument/2006/relationships/hyperlink" Target="https://www.ncbi.nlm.nih.gov/pubmed/9585720" TargetMode="External"/><Relationship Id="rId169" Type="http://schemas.openxmlformats.org/officeDocument/2006/relationships/hyperlink" Target="https://scholar.google.com/scholar_lookup?journal=J.+Consult.+Psychol.&amp;title=Direct+measurement+of+cognitive+deficit+in+schizophrenia&amp;author=A.+Lubin&amp;author=C.F.+Gieseking&amp;author=H.L.+Williams&amp;volume=26&amp;publication_year=1962&amp;pages=139-143&amp;pmid=14467044&amp;" TargetMode="External"/><Relationship Id="rId185" Type="http://schemas.openxmlformats.org/officeDocument/2006/relationships/hyperlink" Target="https://www.ncbi.nlm.nih.gov/pubmed/19794194" TargetMode="External"/><Relationship Id="rId4" Type="http://schemas.openxmlformats.org/officeDocument/2006/relationships/hyperlink" Target="https://www.ncbi.nlm.nih.gov/pubmed/?term=Khandaker%20GM%5BAuthor%5D&amp;cauthor=true&amp;cauthor_uid=21764562" TargetMode="External"/><Relationship Id="rId9" Type="http://schemas.openxmlformats.org/officeDocument/2006/relationships/hyperlink" Target="https://www.ncbi.nlm.nih.gov/pmc/articles/PMC3485562/" TargetMode="External"/><Relationship Id="rId180" Type="http://schemas.openxmlformats.org/officeDocument/2006/relationships/hyperlink" Target="https://scholar.google.com/scholar_lookup?journal=Arch.+Gen.+Psychiatry.&amp;title=Adult+schizophrenia+with+scholastic+failure+or+low+IQ+in+childhood.+A+preliminary+report&amp;author=D.R.+Offord&amp;author=L.A.+Cross&amp;volume=24&amp;issue=5&amp;publication_year=1971&amp;pages=431-436&amp;pmid=5581267&amp;" TargetMode="External"/><Relationship Id="rId210" Type="http://schemas.openxmlformats.org/officeDocument/2006/relationships/hyperlink" Target="https://www.ncbi.nlm.nih.gov/pubmed/18413704" TargetMode="External"/><Relationship Id="rId215" Type="http://schemas.openxmlformats.org/officeDocument/2006/relationships/hyperlink" Target="https://scholar.google.com/scholar_lookup?journal=Arch.+Gen.+Psychiatry.&amp;title=A+longitudinal+study+of+premorbid+IQ+Score+and+risk+of+developing+schizophrenia,+bipolar+disorder,+severe+depression,+and+other+nonaffective+psychoses&amp;author=S.+Zammit&amp;author=P.+Allebeck&amp;author=A.S.+David&amp;author=C.+Dalman&amp;author=T.+Hemmingsson&amp;volume=61&amp;issue=4&amp;publication_year=2004&amp;pages=354-360&amp;pmid=15066893&amp;" TargetMode="External"/><Relationship Id="rId26" Type="http://schemas.openxmlformats.org/officeDocument/2006/relationships/hyperlink" Target="https://www.ncbi.nlm.nih.gov/pmc/articles/PMC3485562/" TargetMode="External"/><Relationship Id="rId47" Type="http://schemas.openxmlformats.org/officeDocument/2006/relationships/hyperlink" Target="https://www.ncbi.nlm.nih.gov/pmc/articles/PMC3485562/" TargetMode="External"/><Relationship Id="rId68" Type="http://schemas.openxmlformats.org/officeDocument/2006/relationships/hyperlink" Target="https://www.ncbi.nlm.nih.gov/pmc/articles/PMC3485562/" TargetMode="External"/><Relationship Id="rId89" Type="http://schemas.openxmlformats.org/officeDocument/2006/relationships/hyperlink" Target="https://www.ncbi.nlm.nih.gov/pmc/articles/PMC3485562/" TargetMode="External"/><Relationship Id="rId112" Type="http://schemas.openxmlformats.org/officeDocument/2006/relationships/hyperlink" Target="https://www.ncbi.nlm.nih.gov/pmc/articles/PMC3485562/" TargetMode="External"/><Relationship Id="rId133" Type="http://schemas.openxmlformats.org/officeDocument/2006/relationships/hyperlink" Target="https://www.ncbi.nlm.nih.gov/pubmed/10885638" TargetMode="External"/><Relationship Id="rId154" Type="http://schemas.openxmlformats.org/officeDocument/2006/relationships/hyperlink" Target="https://scholar.google.com/scholar_lookup?journal=BMJ&amp;title=Measuring+inconsistency+in+meta-analyses&amp;author=J.P.+Higgins&amp;author=S.G.+Thompson&amp;author=J.J.+Deeks&amp;author=D.G.+Altman&amp;volume=327&amp;issue=7414&amp;publication_year=2003&amp;pages=557-560&amp;pmid=12958120&amp;" TargetMode="External"/><Relationship Id="rId175" Type="http://schemas.openxmlformats.org/officeDocument/2006/relationships/hyperlink" Target="https://www.ncbi.nlm.nih.gov/pubmed/1377834" TargetMode="External"/><Relationship Id="rId196" Type="http://schemas.openxmlformats.org/officeDocument/2006/relationships/hyperlink" Target="https://www.ncbi.nlm.nih.gov/pubmed/15664231" TargetMode="External"/><Relationship Id="rId200" Type="http://schemas.openxmlformats.org/officeDocument/2006/relationships/hyperlink" Target="https://www.ncbi.nlm.nih.gov/pubmed/19656427" TargetMode="External"/><Relationship Id="rId16" Type="http://schemas.openxmlformats.org/officeDocument/2006/relationships/hyperlink" Target="https://www.ncbi.nlm.nih.gov/pmc/articles/PMC3485562/" TargetMode="External"/><Relationship Id="rId37" Type="http://schemas.openxmlformats.org/officeDocument/2006/relationships/hyperlink" Target="https://www.ncbi.nlm.nih.gov/pmc/articles/PMC3485562/" TargetMode="External"/><Relationship Id="rId58" Type="http://schemas.openxmlformats.org/officeDocument/2006/relationships/hyperlink" Target="https://www.ncbi.nlm.nih.gov/core/lw/2.0/html/tileshop_pmc/tileshop_pmc_inline.html?title=Click%20on%20image%20to%20zoom&amp;p=PMC3&amp;id=3485562_gr1.jpg" TargetMode="External"/><Relationship Id="rId79" Type="http://schemas.openxmlformats.org/officeDocument/2006/relationships/hyperlink" Target="https://www.ncbi.nlm.nih.gov/pmc/articles/PMC3485562/" TargetMode="External"/><Relationship Id="rId102" Type="http://schemas.openxmlformats.org/officeDocument/2006/relationships/hyperlink" Target="https://www.ncbi.nlm.nih.gov/pmc/articles/PMC3485562/table/t0005/" TargetMode="External"/><Relationship Id="rId123" Type="http://schemas.openxmlformats.org/officeDocument/2006/relationships/hyperlink" Target="https://www.ncbi.nlm.nih.gov/pmc/articles/PMC1125071/" TargetMode="External"/><Relationship Id="rId144" Type="http://schemas.openxmlformats.org/officeDocument/2006/relationships/hyperlink" Target="https://scholar.google.com/scholar_lookup?journal=J.+Psychiatr.+Pract.&amp;title=The+causes+of+schizophrenia:+neurodevelopment+and+other+risk+factors&amp;author=K.+Dean&amp;author=E.+Bramon&amp;author=R.M.+Murray&amp;volume=9&amp;issue=6&amp;publication_year=2003&amp;pages=442-454&amp;pmid=15985967&amp;" TargetMode="External"/><Relationship Id="rId90" Type="http://schemas.openxmlformats.org/officeDocument/2006/relationships/hyperlink" Target="https://www.ncbi.nlm.nih.gov/pmc/articles/PMC3485562/" TargetMode="External"/><Relationship Id="rId165" Type="http://schemas.openxmlformats.org/officeDocument/2006/relationships/hyperlink" Target="https://scholar.google.com/scholar_lookup?journal=Am.+J.+Psychiatry.&amp;title=IQ+decline+during+childhood+and+adult+psychotic+symptoms+in+a+community+sample:+a+19-year+longitudinal+study&amp;author=W.S.+Kremen&amp;author=S.L.+Buka&amp;author=L.J.+Seidman&amp;author=J.M.+Goldstein&amp;author=D.+Koren&amp;volume=155&amp;issue=5&amp;publication_year=1998&amp;pages=672-677&amp;pmid=9585720&amp;" TargetMode="External"/><Relationship Id="rId186" Type="http://schemas.openxmlformats.org/officeDocument/2006/relationships/hyperlink" Target="https://scholar.google.com/scholar_lookup?journal=Br.+J.+Psychiatry.&amp;title=Age+at+onset+and+cognition+in+schizophrenia:+meta-analysis&amp;author=T.K.+Rajji&amp;author=Z.+Ismail&amp;author=B.H.+Mulsant&amp;volume=195&amp;issue=4&amp;publication_year=2009&amp;pages=286-293&amp;pmid=19794194&amp;" TargetMode="External"/><Relationship Id="rId211" Type="http://schemas.openxmlformats.org/officeDocument/2006/relationships/hyperlink" Target="https://scholar.google.com/scholar_lookup?journal=Am.+J.+Psychiatry.&amp;title=Premorbid+IQ+in+schizophrenia:+a+meta-analytic+review&amp;author=K.A.+Woodberry&amp;author=A.J.+Giuliano&amp;author=L.J.+Seidman&amp;volume=165&amp;issue=5&amp;publication_year=2008&amp;pages=579-587&amp;pmid=18413704&amp;" TargetMode="External"/><Relationship Id="rId27" Type="http://schemas.openxmlformats.org/officeDocument/2006/relationships/hyperlink" Target="https://www.ncbi.nlm.nih.gov/pmc/articles/PMC3485562/" TargetMode="External"/><Relationship Id="rId48" Type="http://schemas.openxmlformats.org/officeDocument/2006/relationships/hyperlink" Target="https://www.ncbi.nlm.nih.gov/pmc/articles/PMC3485562/" TargetMode="External"/><Relationship Id="rId69" Type="http://schemas.openxmlformats.org/officeDocument/2006/relationships/hyperlink" Target="https://www.ncbi.nlm.nih.gov/pmc/articles/PMC3485562/figure/f0015/" TargetMode="External"/><Relationship Id="rId113" Type="http://schemas.openxmlformats.org/officeDocument/2006/relationships/hyperlink" Target="https://www.ncbi.nlm.nih.gov/pmc/articles/PMC3485562/" TargetMode="External"/><Relationship Id="rId134" Type="http://schemas.openxmlformats.org/officeDocument/2006/relationships/hyperlink" Target="https://scholar.google.com/scholar_lookup?journal=Schizophr.+Bull.&amp;title=Childhood+cognitive+functioning+in+schizophrenia+patients+and+their+unaffected+siblings:+a+prospective+cohort+study&amp;author=T.D.+Cannon&amp;author=C.E.+Bearden&amp;author=J.M.+Hollister&amp;author=I.M.+Rosso&amp;author=L.E.+Sanchez&amp;volume=26&amp;issue=2&amp;publication_year=2000&amp;pages=379-393&amp;pmid=10885638&amp;" TargetMode="External"/><Relationship Id="rId80" Type="http://schemas.openxmlformats.org/officeDocument/2006/relationships/hyperlink" Target="https://www.ncbi.nlm.nih.gov/pmc/articles/PMC3485562/figure/f0005/" TargetMode="External"/><Relationship Id="rId155" Type="http://schemas.openxmlformats.org/officeDocument/2006/relationships/hyperlink" Target="https://www.ncbi.nlm.nih.gov/pmc/articles/PMC2806573/" TargetMode="External"/><Relationship Id="rId176" Type="http://schemas.openxmlformats.org/officeDocument/2006/relationships/hyperlink" Target="https://scholar.google.com/scholar_lookup?journal=Schizophr.+Bull.&amp;title=A+neurodevelopmental+approach+to+the+classification+of+schizophrenia&amp;author=R.M.+Murray&amp;author=E.+O%27Callaghan&amp;author=D.J.+Castle&amp;author=S.W.+Lewis&amp;volume=18&amp;issue=2&amp;publication_year=1992&amp;pages=319-332&amp;pmid=1377834&amp;" TargetMode="External"/><Relationship Id="rId197" Type="http://schemas.openxmlformats.org/officeDocument/2006/relationships/hyperlink" Target="https://scholar.google.com/scholar_lookup?journal=Lancet&amp;title=Treating+individuals+4:+can+meta-analysis+help+target+interventions+at+individuals+most+likely+to+benefit?&amp;author=S.G.+Thompson&amp;author=J.P.+Higgins&amp;volume=365&amp;issue=9456&amp;publication_year=2005&amp;pages=341-346&amp;pmid=15664231&amp;" TargetMode="External"/><Relationship Id="rId201" Type="http://schemas.openxmlformats.org/officeDocument/2006/relationships/hyperlink" Target="https://scholar.google.com/scholar_lookup?journal=Psychol.+Med.&amp;title=Pre-morbid+IQ+in+mental+disorders:+a+Danish+draft-board+study+of+7486+psychiatric+patients&amp;author=A.+Urfer-Parnas&amp;author=E.+Lykke+Mortensen&amp;author=D.+Saebye&amp;author=J.+Parnas&amp;volume=40&amp;issue=4&amp;publication_year=2010&amp;pages=547-556&amp;pmid=19656427&amp;" TargetMode="External"/><Relationship Id="rId17" Type="http://schemas.openxmlformats.org/officeDocument/2006/relationships/hyperlink" Target="https://www.ncbi.nlm.nih.gov/pmc/articles/PMC3485562/" TargetMode="External"/><Relationship Id="rId38" Type="http://schemas.openxmlformats.org/officeDocument/2006/relationships/hyperlink" Target="https://www.ncbi.nlm.nih.gov/pmc/articles/PMC3485562/" TargetMode="External"/><Relationship Id="rId59" Type="http://schemas.openxmlformats.org/officeDocument/2006/relationships/hyperlink" Target="https://www.ncbi.nlm.nih.gov/pmc/articles/PMC3485562/figure/f0005/" TargetMode="External"/><Relationship Id="rId103" Type="http://schemas.openxmlformats.org/officeDocument/2006/relationships/hyperlink" Target="https://www.ncbi.nlm.nih.gov/pmc/articles/PMC3485562/figure/f0005/" TargetMode="External"/><Relationship Id="rId124" Type="http://schemas.openxmlformats.org/officeDocument/2006/relationships/hyperlink" Target="https://www.ncbi.nlm.nih.gov/pubmed/12543843" TargetMode="External"/><Relationship Id="rId70" Type="http://schemas.openxmlformats.org/officeDocument/2006/relationships/hyperlink" Target="https://www.ncbi.nlm.nih.gov/core/lw/2.0/html/tileshop_pmc/tileshop_pmc_inline.html?title=Click%20on%20image%20to%20zoom&amp;p=PMC3&amp;id=3485562_gr3.jpg" TargetMode="External"/><Relationship Id="rId91" Type="http://schemas.openxmlformats.org/officeDocument/2006/relationships/hyperlink" Target="https://www.ncbi.nlm.nih.gov/pmc/articles/PMC3485562/" TargetMode="External"/><Relationship Id="rId145" Type="http://schemas.openxmlformats.org/officeDocument/2006/relationships/hyperlink" Target="https://www.ncbi.nlm.nih.gov/pmc/articles/PMC2127453/" TargetMode="External"/><Relationship Id="rId166" Type="http://schemas.openxmlformats.org/officeDocument/2006/relationships/hyperlink" Target="https://www.ncbi.nlm.nih.gov/pubmed/16325151" TargetMode="External"/><Relationship Id="rId187" Type="http://schemas.openxmlformats.org/officeDocument/2006/relationships/hyperlink" Target="https://www.ncbi.nlm.nih.gov/pubmed/16330717" TargetMode="External"/><Relationship Id="rId1" Type="http://schemas.openxmlformats.org/officeDocument/2006/relationships/styles" Target="styles.xml"/><Relationship Id="rId212" Type="http://schemas.openxmlformats.org/officeDocument/2006/relationships/hyperlink" Target="https://www.ncbi.nlm.nih.gov/pubmed/9842773" TargetMode="External"/><Relationship Id="rId28" Type="http://schemas.openxmlformats.org/officeDocument/2006/relationships/hyperlink" Target="https://www.ncbi.nlm.nih.gov/pmc/articles/PMC3485562/" TargetMode="External"/><Relationship Id="rId49" Type="http://schemas.openxmlformats.org/officeDocument/2006/relationships/hyperlink" Target="https://www.ncbi.nlm.nih.gov/pmc/articles/PMC3485562/" TargetMode="External"/><Relationship Id="rId114" Type="http://schemas.openxmlformats.org/officeDocument/2006/relationships/hyperlink" Target="https://www.ncbi.nlm.nih.gov/pmc/articles/PMC3485562/" TargetMode="External"/><Relationship Id="rId60" Type="http://schemas.openxmlformats.org/officeDocument/2006/relationships/hyperlink" Target="https://www.ncbi.nlm.nih.gov/pmc/articles/PMC3485562/" TargetMode="External"/><Relationship Id="rId81" Type="http://schemas.openxmlformats.org/officeDocument/2006/relationships/hyperlink" Target="https://www.ncbi.nlm.nih.gov/pmc/articles/PMC3485562/" TargetMode="External"/><Relationship Id="rId135" Type="http://schemas.openxmlformats.org/officeDocument/2006/relationships/hyperlink" Target="https://www.ncbi.nlm.nih.gov/pubmed/11982449" TargetMode="External"/><Relationship Id="rId156" Type="http://schemas.openxmlformats.org/officeDocument/2006/relationships/hyperlink" Target="https://www.ncbi.nlm.nih.gov/pubmed/18757973" TargetMode="External"/><Relationship Id="rId177" Type="http://schemas.openxmlformats.org/officeDocument/2006/relationships/hyperlink" Target="https://www.ncbi.nlm.nih.gov/pubmed/14594759" TargetMode="External"/><Relationship Id="rId198" Type="http://schemas.openxmlformats.org/officeDocument/2006/relationships/hyperlink" Target="https://www.ncbi.nlm.nih.gov/pubmed/16199837" TargetMode="External"/><Relationship Id="rId202" Type="http://schemas.openxmlformats.org/officeDocument/2006/relationships/hyperlink" Target="https://www.ncbi.nlm.nih.gov/pubmed/18606047" TargetMode="External"/><Relationship Id="rId18" Type="http://schemas.openxmlformats.org/officeDocument/2006/relationships/hyperlink" Target="https://www.ncbi.nlm.nih.gov/pmc/articles/PMC3485562/" TargetMode="External"/><Relationship Id="rId39" Type="http://schemas.openxmlformats.org/officeDocument/2006/relationships/hyperlink" Target="https://www.ncbi.nlm.nih.gov/pmc/articles/PMC3485562/table/t0005/" TargetMode="External"/><Relationship Id="rId50" Type="http://schemas.openxmlformats.org/officeDocument/2006/relationships/hyperlink" Target="https://www.ncbi.nlm.nih.gov/pmc/articles/PMC3485562/" TargetMode="External"/><Relationship Id="rId104" Type="http://schemas.openxmlformats.org/officeDocument/2006/relationships/hyperlink" Target="https://www.ncbi.nlm.nih.gov/pmc/articles/PMC3485562/" TargetMode="External"/><Relationship Id="rId125" Type="http://schemas.openxmlformats.org/officeDocument/2006/relationships/hyperlink" Target="https://scholar.google.com/scholar_lookup?journal=BMJ&amp;title=Interaction+revisited:+the+difference+between+two+estimates&amp;author=D.G.+Altman&amp;author=J.M.+Bland&amp;volume=326&amp;issue=7382&amp;publication_year=2003&amp;pages=219&amp;pmid=12543843&amp;" TargetMode="External"/><Relationship Id="rId146" Type="http://schemas.openxmlformats.org/officeDocument/2006/relationships/hyperlink" Target="https://www.ncbi.nlm.nih.gov/pubmed/9310563" TargetMode="External"/><Relationship Id="rId167" Type="http://schemas.openxmlformats.org/officeDocument/2006/relationships/hyperlink" Target="https://scholar.google.com/scholar_lookup?journal=Biol.+Psychiatry.&amp;title=Generalized+and+specific+neurocognitive+deficits+in+prodromal+schizophrenia&amp;author=T.+Lencz&amp;author=C.W.+Smith&amp;author=D.+McLaughlin&amp;author=A.+Auther&amp;author=E.+Nakayama&amp;volume=59&amp;issue=9&amp;publication_year=2006&amp;pages=863-871&amp;pmid=16325151&amp;" TargetMode="External"/><Relationship Id="rId188" Type="http://schemas.openxmlformats.org/officeDocument/2006/relationships/hyperlink" Target="https://scholar.google.com/scholar_lookup?journal=Arch.+Gen.+Psychiatry.&amp;title=Elaboration+on+premorbid+intellectual+performance+in+schizophrenia:+premorbid+intellectual+decline+and+risk+for+schizophrenia&amp;author=A.+Reichenberg&amp;author=M.+Weiser&amp;author=M.A.+Rapp&amp;author=J.+Rabinowitz&amp;author=A.+Caspi&amp;volume=62&amp;issue=12&amp;publication_year=2005&amp;pages=1297-1304&amp;pmid=16330717&amp;" TargetMode="External"/><Relationship Id="rId71" Type="http://schemas.openxmlformats.org/officeDocument/2006/relationships/hyperlink" Target="https://www.ncbi.nlm.nih.gov/pmc/articles/PMC3485562/figure/f0015/" TargetMode="External"/><Relationship Id="rId92" Type="http://schemas.openxmlformats.org/officeDocument/2006/relationships/hyperlink" Target="https://www.ncbi.nlm.nih.gov/pmc/articles/PMC3485562/" TargetMode="External"/><Relationship Id="rId213" Type="http://schemas.openxmlformats.org/officeDocument/2006/relationships/hyperlink" Target="https://scholar.google.com/scholar_lookup?journal=Am.+J.+Psychiatry.&amp;title=Is+schizophrenia+a+progressive+neurodevelopmental+disorder?+Toward+a+unitary+pathogenetic+mechanism&amp;author=B.T.+Woods&amp;volume=155&amp;publication_year=1998&amp;pages=1661-1670&amp;pmid=9842773&amp;" TargetMode="External"/><Relationship Id="rId2" Type="http://schemas.openxmlformats.org/officeDocument/2006/relationships/settings" Target="settings.xml"/><Relationship Id="rId29" Type="http://schemas.openxmlformats.org/officeDocument/2006/relationships/hyperlink" Target="https://www.ncbi.nlm.nih.gov/pmc/articles/PMC3485562/" TargetMode="External"/><Relationship Id="rId40" Type="http://schemas.openxmlformats.org/officeDocument/2006/relationships/hyperlink" Target="https://www.ncbi.nlm.nih.gov/pmc/articles/PMC3485562/" TargetMode="External"/><Relationship Id="rId115" Type="http://schemas.openxmlformats.org/officeDocument/2006/relationships/hyperlink" Target="https://www.ncbi.nlm.nih.gov/pmc/articles/PMC3485562/" TargetMode="External"/><Relationship Id="rId136" Type="http://schemas.openxmlformats.org/officeDocument/2006/relationships/hyperlink" Target="https://scholar.google.com/scholar_lookup?journal=Arch.+Gen.+Psychiatry.&amp;title=Evidence+for+early-childhood,+pan-developmental+impairment+specific+to+schizophreniform+disorder:+results+from+a+longitudinal+birth+cohort&amp;author=M.+Cannon&amp;author=A.+Caspi&amp;author=T.E.+Moffitt&amp;author=H.+Harrington&amp;author=A.+Taylor&amp;volume=59&amp;issue=5&amp;publication_year=2002&amp;pages=449-456&amp;pmid=11982449&amp;" TargetMode="External"/><Relationship Id="rId157" Type="http://schemas.openxmlformats.org/officeDocument/2006/relationships/hyperlink" Target="https://scholar.google.com/scholar_lookup?journal=Br.+J.+Psychiatry&amp;title=IQ+and+non-clinical+psychotic+symptoms+in+12-year-olds:+results+from+the+ALSPAC+birth+cohort&amp;author=J.+Horwood&amp;author=G.+Salvi&amp;author=K.+Thomas&amp;author=L.+Duffy&amp;author=D.+Gunnell&amp;volume=193&amp;issue=3&amp;publication_year=2008&amp;pages=185-191&amp;pmid=18757973&amp;" TargetMode="External"/><Relationship Id="rId178" Type="http://schemas.openxmlformats.org/officeDocument/2006/relationships/hyperlink" Target="https://scholar.google.com/scholar_lookup?journal=Am.+J.+Psychiatry.&amp;title=A+prospective+study+of+childhood+neurocognitive+functioning+in+schizophrenic+patients+and+their+siblings&amp;author=T.A.+Niendam&amp;author=C.E.+Bearden&amp;author=I.M.+Rosso&amp;author=L.E.+Sanchez&amp;author=T.+Hadley&amp;volume=160&amp;issue=11&amp;publication_year=2003&amp;pages=2060-2062&amp;pmid=14594759&amp;" TargetMode="External"/><Relationship Id="rId61" Type="http://schemas.openxmlformats.org/officeDocument/2006/relationships/hyperlink" Target="https://www.ncbi.nlm.nih.gov/pmc/articles/PMC3485562/" TargetMode="External"/><Relationship Id="rId82" Type="http://schemas.openxmlformats.org/officeDocument/2006/relationships/hyperlink" Target="https://www.ncbi.nlm.nih.gov/pmc/articles/PMC3485562/" TargetMode="External"/><Relationship Id="rId199" Type="http://schemas.openxmlformats.org/officeDocument/2006/relationships/hyperlink" Target="https://scholar.google.com/scholar_lookup?journal=Am.+J.+Psychiatry.&amp;title=Premorbid+intellectual+functioning+in+bipolar+disorder+and+schizophrenia:+results+from+a+cohort+study+of+male+conscripts&amp;author=J.+Tiihonen&amp;author=J.+Haukka&amp;author=M.+Henriksson&amp;author=M.+Cannon&amp;author=T.+Kieseppa&amp;volume=162&amp;issue=10&amp;publication_year=2005&amp;pages=1904-1910&amp;pmid=16199837&amp;" TargetMode="External"/><Relationship Id="rId203" Type="http://schemas.openxmlformats.org/officeDocument/2006/relationships/hyperlink" Target="https://scholar.google.com/scholar_lookup?journal=Psychol.+Med.&amp;title=A+systematic+review+and+meta-analysis+of+the+psychosis+continuum:+evidence+for+a+psychosis+proneness-persistence-impairment+model+of+psychotic+disorder&amp;author=J.+van+Os&amp;author=R.J.+Linscott&amp;author=I.+Myin-Germeys&amp;author=P.+Delespaul&amp;author=L.+Krabbendam&amp;volume=39&amp;issue=2&amp;publication_year=2009&amp;pages=179-195&amp;pmid=18606047&amp;" TargetMode="External"/><Relationship Id="rId19" Type="http://schemas.openxmlformats.org/officeDocument/2006/relationships/hyperlink" Target="https://www.ncbi.nlm.nih.gov/pmc/articles/PMC34855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11338</Words>
  <Characters>64627</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2019-09-06T06:43:00Z</dcterms:created>
  <dcterms:modified xsi:type="dcterms:W3CDTF">2019-09-06T06:43:00Z</dcterms:modified>
</cp:coreProperties>
</file>